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24E1E" w14:textId="4BEB75A1" w:rsidR="002E04FD" w:rsidRPr="00D223E6" w:rsidRDefault="00D223E6" w:rsidP="00D223E6">
      <w:pPr>
        <w:jc w:val="center"/>
        <w:rPr>
          <w:rFonts w:ascii="Open Sans" w:hAnsi="Open Sans" w:cs="Open Sans"/>
          <w:i/>
          <w:iCs/>
        </w:rPr>
      </w:pPr>
      <w:r>
        <w:rPr>
          <w:rFonts w:ascii="Open Sans" w:hAnsi="Open Sans" w:cs="Open Sans"/>
          <w:i/>
          <w:iCs/>
        </w:rPr>
        <w:t>Public</w:t>
      </w:r>
    </w:p>
    <w:p w14:paraId="19527785" w14:textId="77777777" w:rsidR="00D47028" w:rsidRPr="003D166D" w:rsidRDefault="00D47028" w:rsidP="00D47028">
      <w:pPr>
        <w:widowControl w:val="0"/>
        <w:autoSpaceDE w:val="0"/>
        <w:autoSpaceDN w:val="0"/>
        <w:spacing w:before="263" w:after="0" w:line="240" w:lineRule="auto"/>
        <w:ind w:left="100"/>
        <w:jc w:val="center"/>
        <w:rPr>
          <w:rFonts w:ascii="Open Sans" w:eastAsia="Tahoma" w:hAnsi="Open Sans" w:cs="Open Sans"/>
          <w:b/>
          <w:bCs/>
          <w:sz w:val="32"/>
          <w:lang w:eastAsia="en-GB" w:bidi="en-GB"/>
        </w:rPr>
      </w:pPr>
      <w:r w:rsidRPr="003D166D">
        <w:rPr>
          <w:rFonts w:ascii="Open Sans" w:eastAsia="Tahoma" w:hAnsi="Open Sans" w:cs="Open Sans"/>
          <w:b/>
          <w:bCs/>
          <w:sz w:val="32"/>
          <w:lang w:eastAsia="en-GB" w:bidi="en-GB"/>
        </w:rPr>
        <w:t>Supply Chain Fees Policy</w:t>
      </w:r>
    </w:p>
    <w:p w14:paraId="0BBFE56A" w14:textId="77777777" w:rsidR="00D47028" w:rsidRPr="003D166D" w:rsidRDefault="00D47028" w:rsidP="00D47028">
      <w:pPr>
        <w:widowControl w:val="0"/>
        <w:autoSpaceDE w:val="0"/>
        <w:autoSpaceDN w:val="0"/>
        <w:spacing w:before="247" w:after="0" w:line="240" w:lineRule="auto"/>
        <w:ind w:left="100"/>
        <w:outlineLvl w:val="0"/>
        <w:rPr>
          <w:rFonts w:ascii="Open Sans" w:eastAsia="Tahoma" w:hAnsi="Open Sans" w:cs="Open Sans"/>
          <w:b/>
          <w:bCs/>
          <w:sz w:val="24"/>
          <w:szCs w:val="24"/>
          <w:lang w:eastAsia="en-GB" w:bidi="en-GB"/>
        </w:rPr>
      </w:pPr>
      <w:r w:rsidRPr="003D166D">
        <w:rPr>
          <w:rFonts w:ascii="Open Sans" w:eastAsia="Tahoma" w:hAnsi="Open Sans" w:cs="Open Sans"/>
          <w:b/>
          <w:bCs/>
          <w:sz w:val="24"/>
          <w:szCs w:val="24"/>
          <w:lang w:eastAsia="en-GB" w:bidi="en-GB"/>
        </w:rPr>
        <w:t>Introduction</w:t>
      </w:r>
    </w:p>
    <w:p w14:paraId="350030FE" w14:textId="77777777" w:rsidR="008D0B64" w:rsidRPr="008D0B64" w:rsidRDefault="00D47028" w:rsidP="008D0B64">
      <w:pPr>
        <w:rPr>
          <w:rFonts w:ascii="Open Sans" w:hAnsi="Open Sans" w:cs="Open Sans"/>
        </w:rPr>
      </w:pPr>
      <w:r w:rsidRPr="008D0B64">
        <w:rPr>
          <w:rFonts w:ascii="Open Sans" w:eastAsia="Tahoma" w:hAnsi="Open Sans" w:cs="Open Sans"/>
          <w:lang w:eastAsia="en-GB" w:bidi="en-GB"/>
        </w:rPr>
        <w:t xml:space="preserve">Formed in 1995, Twin has 24 years’ experience in delivering employability and skills programmes as a partner and a prime contractor on behalf of </w:t>
      </w:r>
      <w:proofErr w:type="gramStart"/>
      <w:r w:rsidRPr="008D0B64">
        <w:rPr>
          <w:rFonts w:ascii="Open Sans" w:eastAsia="Tahoma" w:hAnsi="Open Sans" w:cs="Open Sans"/>
          <w:lang w:eastAsia="en-GB" w:bidi="en-GB"/>
        </w:rPr>
        <w:t>a number of</w:t>
      </w:r>
      <w:proofErr w:type="gramEnd"/>
      <w:r w:rsidRPr="008D0B64">
        <w:rPr>
          <w:rFonts w:ascii="Open Sans" w:eastAsia="Tahoma" w:hAnsi="Open Sans" w:cs="Open Sans"/>
          <w:lang w:eastAsia="en-GB" w:bidi="en-GB"/>
        </w:rPr>
        <w:t xml:space="preserve"> funding organisations. </w:t>
      </w:r>
      <w:r w:rsidR="008D0B64" w:rsidRPr="008D0B64">
        <w:rPr>
          <w:rFonts w:ascii="Open Sans" w:hAnsi="Open Sans" w:cs="Open Sans"/>
        </w:rPr>
        <w:t xml:space="preserve">With its head office in Greenwich, London and with offices across the East and West Midlands, Ireland, London, East of England, East Sussex and Internationally, TET is part of the TWIN International Education and Employment Group, alongside Twin International, Twin English Schools and </w:t>
      </w:r>
      <w:proofErr w:type="spellStart"/>
      <w:r w:rsidR="008D0B64" w:rsidRPr="008D0B64">
        <w:rPr>
          <w:rFonts w:ascii="Open Sans" w:hAnsi="Open Sans" w:cs="Open Sans"/>
        </w:rPr>
        <w:t>e-Training</w:t>
      </w:r>
      <w:proofErr w:type="spellEnd"/>
      <w:r w:rsidR="008D0B64" w:rsidRPr="008D0B64">
        <w:rPr>
          <w:rFonts w:ascii="Open Sans" w:hAnsi="Open Sans" w:cs="Open Sans"/>
        </w:rPr>
        <w:t xml:space="preserve">, a recently acquired Apprenticeship training provider and 3SC, a charity membership company who supports charities in their back office and teaching support programmes . </w:t>
      </w:r>
    </w:p>
    <w:p w14:paraId="5BD0BA8B" w14:textId="63645F5B" w:rsidR="00D47028" w:rsidRPr="003D166D" w:rsidRDefault="00D47028" w:rsidP="008D0B64">
      <w:pPr>
        <w:widowControl w:val="0"/>
        <w:autoSpaceDE w:val="0"/>
        <w:autoSpaceDN w:val="0"/>
        <w:spacing w:before="8" w:after="0" w:line="240" w:lineRule="auto"/>
        <w:ind w:right="122"/>
        <w:rPr>
          <w:rFonts w:ascii="Open Sans" w:eastAsia="Tahoma" w:hAnsi="Open Sans" w:cs="Open Sans"/>
          <w:lang w:eastAsia="en-GB" w:bidi="en-GB"/>
        </w:rPr>
      </w:pPr>
      <w:r w:rsidRPr="003D166D">
        <w:rPr>
          <w:rFonts w:ascii="Open Sans" w:eastAsia="Tahoma" w:hAnsi="Open Sans" w:cs="Open Sans"/>
          <w:lang w:eastAsia="en-GB" w:bidi="en-GB"/>
        </w:rPr>
        <w:t xml:space="preserve">Twin is a Prime Contractor to the Home Office, Education and Skills Funding Agency (ESFA) AEB Adult Skills and National Skills and GLA AEB Jobs and Skills for Londoners. </w:t>
      </w:r>
    </w:p>
    <w:p w14:paraId="719158AF" w14:textId="77777777" w:rsidR="00D47028" w:rsidRPr="003D166D" w:rsidRDefault="00D47028" w:rsidP="00D47028">
      <w:pPr>
        <w:widowControl w:val="0"/>
        <w:autoSpaceDE w:val="0"/>
        <w:autoSpaceDN w:val="0"/>
        <w:spacing w:after="0" w:line="240" w:lineRule="auto"/>
        <w:rPr>
          <w:rFonts w:ascii="Open Sans" w:eastAsia="Tahoma" w:hAnsi="Open Sans" w:cs="Open Sans"/>
          <w:lang w:eastAsia="en-GB" w:bidi="en-GB"/>
        </w:rPr>
      </w:pPr>
    </w:p>
    <w:p w14:paraId="70042AE1" w14:textId="77777777" w:rsidR="00D47028" w:rsidRPr="003D166D" w:rsidRDefault="00D47028" w:rsidP="008D0B64">
      <w:pPr>
        <w:widowControl w:val="0"/>
        <w:autoSpaceDE w:val="0"/>
        <w:autoSpaceDN w:val="0"/>
        <w:spacing w:before="1" w:after="0" w:line="240" w:lineRule="auto"/>
        <w:ind w:right="172"/>
        <w:rPr>
          <w:rFonts w:ascii="Open Sans" w:eastAsia="Tahoma" w:hAnsi="Open Sans" w:cs="Open Sans"/>
          <w:lang w:eastAsia="en-GB" w:bidi="en-GB"/>
        </w:rPr>
      </w:pPr>
      <w:r w:rsidRPr="003D166D">
        <w:rPr>
          <w:rFonts w:ascii="Open Sans" w:eastAsia="Tahoma" w:hAnsi="Open Sans" w:cs="Open Sans"/>
          <w:lang w:eastAsia="en-GB" w:bidi="en-GB"/>
        </w:rPr>
        <w:t>Twin ensures that all funded provision delivered through our contracts provide good value for money for both the Funding Organisation and the organisation delivering the programme on behalf of Twin. We expect and maintain a high standard of delivery for all learners using our provision. Organisations who contract services from us are referred to as ‘Supply Chain Partners’ (SCPs) to indicate that in partnership we share a responsibility to deliver the contract to Twin standards and expectations.</w:t>
      </w:r>
    </w:p>
    <w:p w14:paraId="6AEDFCEF" w14:textId="77777777" w:rsidR="00D47028" w:rsidRPr="003D166D" w:rsidRDefault="00D47028" w:rsidP="00D47028">
      <w:pPr>
        <w:widowControl w:val="0"/>
        <w:autoSpaceDE w:val="0"/>
        <w:autoSpaceDN w:val="0"/>
        <w:spacing w:before="11" w:after="0" w:line="240" w:lineRule="auto"/>
        <w:rPr>
          <w:rFonts w:ascii="Open Sans" w:eastAsia="Tahoma" w:hAnsi="Open Sans" w:cs="Open Sans"/>
          <w:lang w:eastAsia="en-GB" w:bidi="en-GB"/>
        </w:rPr>
      </w:pPr>
    </w:p>
    <w:p w14:paraId="470D5F20" w14:textId="77777777" w:rsidR="00D47028" w:rsidRPr="003D166D" w:rsidRDefault="00D47028" w:rsidP="00547D7F">
      <w:pPr>
        <w:widowControl w:val="0"/>
        <w:autoSpaceDE w:val="0"/>
        <w:autoSpaceDN w:val="0"/>
        <w:spacing w:before="1" w:after="0" w:line="240" w:lineRule="auto"/>
        <w:ind w:right="534"/>
        <w:rPr>
          <w:rFonts w:ascii="Open Sans" w:eastAsia="Tahoma" w:hAnsi="Open Sans" w:cs="Open Sans"/>
          <w:lang w:eastAsia="en-GB" w:bidi="en-GB"/>
        </w:rPr>
      </w:pPr>
      <w:r w:rsidRPr="003D166D">
        <w:rPr>
          <w:rFonts w:ascii="Open Sans" w:eastAsia="Tahoma" w:hAnsi="Open Sans" w:cs="Open Sans"/>
          <w:lang w:eastAsia="en-GB" w:bidi="en-GB"/>
        </w:rPr>
        <w:t>The purpose of this policy is to provide transparency to all SCPs, Funding Organisations and other associated parties in relation to the procurement, support and subcontracting charging rationale associated to sub-contracted provision with Twin.</w:t>
      </w:r>
    </w:p>
    <w:p w14:paraId="670723AB" w14:textId="77777777" w:rsidR="00D47028" w:rsidRPr="003D166D" w:rsidRDefault="00D47028" w:rsidP="00547D7F">
      <w:pPr>
        <w:widowControl w:val="0"/>
        <w:autoSpaceDE w:val="0"/>
        <w:autoSpaceDN w:val="0"/>
        <w:spacing w:before="3" w:after="0" w:line="240" w:lineRule="auto"/>
        <w:rPr>
          <w:rFonts w:ascii="Open Sans" w:eastAsia="Tahoma" w:hAnsi="Open Sans" w:cs="Open Sans"/>
          <w:sz w:val="24"/>
          <w:szCs w:val="24"/>
          <w:lang w:eastAsia="en-GB" w:bidi="en-GB"/>
        </w:rPr>
      </w:pPr>
    </w:p>
    <w:p w14:paraId="17F0372F" w14:textId="77777777" w:rsidR="00D47028" w:rsidRPr="003D166D" w:rsidRDefault="00D47028" w:rsidP="00547D7F">
      <w:pPr>
        <w:widowControl w:val="0"/>
        <w:autoSpaceDE w:val="0"/>
        <w:autoSpaceDN w:val="0"/>
        <w:spacing w:after="0" w:line="240" w:lineRule="auto"/>
        <w:outlineLvl w:val="0"/>
        <w:rPr>
          <w:rFonts w:ascii="Open Sans" w:eastAsia="Tahoma" w:hAnsi="Open Sans" w:cs="Open Sans"/>
          <w:b/>
          <w:bCs/>
          <w:sz w:val="24"/>
          <w:szCs w:val="24"/>
          <w:lang w:eastAsia="en-GB" w:bidi="en-GB"/>
        </w:rPr>
      </w:pPr>
      <w:r w:rsidRPr="003D166D">
        <w:rPr>
          <w:rFonts w:ascii="Open Sans" w:eastAsia="Tahoma" w:hAnsi="Open Sans" w:cs="Open Sans"/>
          <w:b/>
          <w:bCs/>
          <w:sz w:val="24"/>
          <w:szCs w:val="24"/>
          <w:lang w:eastAsia="en-GB" w:bidi="en-GB"/>
        </w:rPr>
        <w:t>Rationale</w:t>
      </w:r>
    </w:p>
    <w:p w14:paraId="7581B44D" w14:textId="77777777" w:rsidR="00D47028" w:rsidRPr="003D166D" w:rsidRDefault="00D47028" w:rsidP="00547D7F">
      <w:pPr>
        <w:widowControl w:val="0"/>
        <w:autoSpaceDE w:val="0"/>
        <w:autoSpaceDN w:val="0"/>
        <w:spacing w:before="6" w:after="0" w:line="240" w:lineRule="auto"/>
        <w:ind w:right="112"/>
        <w:rPr>
          <w:rFonts w:ascii="Open Sans" w:eastAsia="Tahoma" w:hAnsi="Open Sans" w:cs="Open Sans"/>
          <w:lang w:eastAsia="en-GB" w:bidi="en-GB"/>
        </w:rPr>
      </w:pPr>
      <w:r w:rsidRPr="003D166D">
        <w:rPr>
          <w:rFonts w:ascii="Open Sans" w:eastAsia="Tahoma" w:hAnsi="Open Sans" w:cs="Open Sans"/>
          <w:lang w:eastAsia="en-GB" w:bidi="en-GB"/>
        </w:rPr>
        <w:t xml:space="preserve">Twin work with a range of subcontracted Supply Chain Partners (SCPs) who share our vision to help people realise their full potential through life-enhancing experiences. All SCPs as part of our Supply Chain Procurement process will be selected based on </w:t>
      </w:r>
      <w:proofErr w:type="gramStart"/>
      <w:r w:rsidRPr="003D166D">
        <w:rPr>
          <w:rFonts w:ascii="Open Sans" w:eastAsia="Tahoma" w:hAnsi="Open Sans" w:cs="Open Sans"/>
          <w:lang w:eastAsia="en-GB" w:bidi="en-GB"/>
        </w:rPr>
        <w:t>a number of</w:t>
      </w:r>
      <w:proofErr w:type="gramEnd"/>
      <w:r w:rsidRPr="003D166D">
        <w:rPr>
          <w:rFonts w:ascii="Open Sans" w:eastAsia="Tahoma" w:hAnsi="Open Sans" w:cs="Open Sans"/>
          <w:lang w:eastAsia="en-GB" w:bidi="en-GB"/>
        </w:rPr>
        <w:t xml:space="preserve"> factors </w:t>
      </w:r>
      <w:proofErr w:type="gramStart"/>
      <w:r w:rsidRPr="003D166D">
        <w:rPr>
          <w:rFonts w:ascii="Open Sans" w:eastAsia="Tahoma" w:hAnsi="Open Sans" w:cs="Open Sans"/>
          <w:lang w:eastAsia="en-GB" w:bidi="en-GB"/>
        </w:rPr>
        <w:t>including:</w:t>
      </w:r>
      <w:proofErr w:type="gramEnd"/>
      <w:r w:rsidRPr="003D166D">
        <w:rPr>
          <w:rFonts w:ascii="Open Sans" w:eastAsia="Tahoma" w:hAnsi="Open Sans" w:cs="Open Sans"/>
          <w:lang w:eastAsia="en-GB" w:bidi="en-GB"/>
        </w:rPr>
        <w:t xml:space="preserve"> track record; capacity and capability, their location and type of provision delivered to ensure local coverage that reflects local priorities and responds to employer and learner demand. Our selection process will enable Twin to provide and maintain a wider choice of services for learners and</w:t>
      </w:r>
      <w:r w:rsidRPr="003D166D">
        <w:rPr>
          <w:rFonts w:ascii="Open Sans" w:eastAsia="Tahoma" w:hAnsi="Open Sans" w:cs="Open Sans"/>
          <w:spacing w:val="-1"/>
          <w:lang w:eastAsia="en-GB" w:bidi="en-GB"/>
        </w:rPr>
        <w:t xml:space="preserve"> </w:t>
      </w:r>
      <w:r w:rsidRPr="003D166D">
        <w:rPr>
          <w:rFonts w:ascii="Open Sans" w:eastAsia="Tahoma" w:hAnsi="Open Sans" w:cs="Open Sans"/>
          <w:lang w:eastAsia="en-GB" w:bidi="en-GB"/>
        </w:rPr>
        <w:t>employers.</w:t>
      </w:r>
    </w:p>
    <w:p w14:paraId="0BEEF0F3" w14:textId="77777777" w:rsidR="00D47028" w:rsidRPr="003D166D" w:rsidRDefault="00D47028" w:rsidP="00547D7F">
      <w:pPr>
        <w:widowControl w:val="0"/>
        <w:autoSpaceDE w:val="0"/>
        <w:autoSpaceDN w:val="0"/>
        <w:spacing w:before="4" w:after="0" w:line="240" w:lineRule="auto"/>
        <w:rPr>
          <w:rFonts w:ascii="Open Sans" w:eastAsia="Tahoma" w:hAnsi="Open Sans" w:cs="Open Sans"/>
          <w:lang w:eastAsia="en-GB" w:bidi="en-GB"/>
        </w:rPr>
      </w:pPr>
    </w:p>
    <w:p w14:paraId="689E613B" w14:textId="77777777" w:rsidR="00D47028" w:rsidRPr="003D166D" w:rsidRDefault="00D47028" w:rsidP="00547D7F">
      <w:pPr>
        <w:widowControl w:val="0"/>
        <w:autoSpaceDE w:val="0"/>
        <w:autoSpaceDN w:val="0"/>
        <w:spacing w:before="1" w:after="0" w:line="240" w:lineRule="auto"/>
        <w:ind w:right="342"/>
        <w:rPr>
          <w:rFonts w:ascii="Open Sans" w:eastAsia="Tahoma" w:hAnsi="Open Sans" w:cs="Open Sans"/>
          <w:lang w:eastAsia="en-GB" w:bidi="en-GB"/>
        </w:rPr>
      </w:pPr>
      <w:r w:rsidRPr="003D166D">
        <w:rPr>
          <w:rFonts w:ascii="Open Sans" w:eastAsia="Tahoma" w:hAnsi="Open Sans" w:cs="Open Sans"/>
          <w:lang w:eastAsia="en-GB" w:bidi="en-GB"/>
        </w:rPr>
        <w:t xml:space="preserve">All SCPs will undergo a comprehensive Due Diligence process prior to starting any delivery and will be managed in line with our Supply Chain Management Framework </w:t>
      </w:r>
      <w:r w:rsidRPr="003D166D">
        <w:rPr>
          <w:rFonts w:ascii="Open Sans" w:eastAsia="Tahoma" w:hAnsi="Open Sans" w:cs="Open Sans"/>
          <w:lang w:eastAsia="en-GB" w:bidi="en-GB"/>
        </w:rPr>
        <w:lastRenderedPageBreak/>
        <w:t>(SCMF).</w:t>
      </w:r>
    </w:p>
    <w:p w14:paraId="1F05152A" w14:textId="77777777" w:rsidR="00D47028" w:rsidRDefault="00D47028" w:rsidP="00D47028">
      <w:pPr>
        <w:widowControl w:val="0"/>
        <w:autoSpaceDE w:val="0"/>
        <w:autoSpaceDN w:val="0"/>
        <w:spacing w:before="5" w:after="0" w:line="240" w:lineRule="auto"/>
        <w:rPr>
          <w:rFonts w:ascii="Open Sans" w:eastAsia="Tahoma" w:hAnsi="Open Sans" w:cs="Open Sans"/>
          <w:lang w:eastAsia="en-GB" w:bidi="en-GB"/>
        </w:rPr>
      </w:pPr>
    </w:p>
    <w:p w14:paraId="34133DBD" w14:textId="77777777" w:rsidR="009F3AEE" w:rsidRDefault="009F3AEE" w:rsidP="00D47028">
      <w:pPr>
        <w:widowControl w:val="0"/>
        <w:autoSpaceDE w:val="0"/>
        <w:autoSpaceDN w:val="0"/>
        <w:spacing w:before="5" w:after="0" w:line="240" w:lineRule="auto"/>
        <w:rPr>
          <w:rFonts w:ascii="Open Sans" w:eastAsia="Tahoma" w:hAnsi="Open Sans" w:cs="Open Sans"/>
          <w:lang w:eastAsia="en-GB" w:bidi="en-GB"/>
        </w:rPr>
      </w:pPr>
    </w:p>
    <w:p w14:paraId="30AC9692" w14:textId="77777777" w:rsidR="009F3AEE" w:rsidRDefault="009F3AEE" w:rsidP="00D47028">
      <w:pPr>
        <w:widowControl w:val="0"/>
        <w:autoSpaceDE w:val="0"/>
        <w:autoSpaceDN w:val="0"/>
        <w:spacing w:before="5" w:after="0" w:line="240" w:lineRule="auto"/>
        <w:rPr>
          <w:rFonts w:ascii="Open Sans" w:eastAsia="Tahoma" w:hAnsi="Open Sans" w:cs="Open Sans"/>
          <w:lang w:eastAsia="en-GB" w:bidi="en-GB"/>
        </w:rPr>
      </w:pPr>
    </w:p>
    <w:p w14:paraId="25F097BB" w14:textId="77777777" w:rsidR="009F3AEE" w:rsidRDefault="009F3AEE" w:rsidP="00D47028">
      <w:pPr>
        <w:widowControl w:val="0"/>
        <w:autoSpaceDE w:val="0"/>
        <w:autoSpaceDN w:val="0"/>
        <w:spacing w:before="5" w:after="0" w:line="240" w:lineRule="auto"/>
        <w:rPr>
          <w:rFonts w:ascii="Open Sans" w:eastAsia="Tahoma" w:hAnsi="Open Sans" w:cs="Open Sans"/>
          <w:lang w:eastAsia="en-GB" w:bidi="en-GB"/>
        </w:rPr>
      </w:pPr>
    </w:p>
    <w:p w14:paraId="175A8AD6" w14:textId="77777777" w:rsidR="009F3AEE" w:rsidRPr="003D166D" w:rsidRDefault="009F3AEE" w:rsidP="00D47028">
      <w:pPr>
        <w:widowControl w:val="0"/>
        <w:autoSpaceDE w:val="0"/>
        <w:autoSpaceDN w:val="0"/>
        <w:spacing w:before="5" w:after="0" w:line="240" w:lineRule="auto"/>
        <w:rPr>
          <w:rFonts w:ascii="Open Sans" w:eastAsia="Tahoma" w:hAnsi="Open Sans" w:cs="Open Sans"/>
          <w:lang w:eastAsia="en-GB" w:bidi="en-GB"/>
        </w:rPr>
      </w:pPr>
    </w:p>
    <w:p w14:paraId="2109A1FC" w14:textId="77777777" w:rsidR="00D47028" w:rsidRDefault="00D47028" w:rsidP="00D47028">
      <w:pPr>
        <w:widowControl w:val="0"/>
        <w:autoSpaceDE w:val="0"/>
        <w:autoSpaceDN w:val="0"/>
        <w:spacing w:after="0" w:line="240" w:lineRule="auto"/>
        <w:ind w:left="100"/>
        <w:outlineLvl w:val="0"/>
        <w:rPr>
          <w:rFonts w:ascii="Open Sans" w:eastAsia="Tahoma" w:hAnsi="Open Sans" w:cs="Open Sans"/>
          <w:b/>
          <w:bCs/>
          <w:sz w:val="24"/>
          <w:szCs w:val="24"/>
          <w:lang w:eastAsia="en-GB" w:bidi="en-GB"/>
        </w:rPr>
      </w:pPr>
      <w:r w:rsidRPr="003D166D">
        <w:rPr>
          <w:rFonts w:ascii="Open Sans" w:eastAsia="Tahoma" w:hAnsi="Open Sans" w:cs="Open Sans"/>
          <w:b/>
          <w:bCs/>
          <w:sz w:val="24"/>
          <w:szCs w:val="24"/>
          <w:lang w:eastAsia="en-GB" w:bidi="en-GB"/>
        </w:rPr>
        <w:t>Improving the Quality of Teaching and Learning</w:t>
      </w:r>
    </w:p>
    <w:p w14:paraId="285582B0" w14:textId="77777777" w:rsidR="009F3AEE" w:rsidRPr="009F3AEE" w:rsidRDefault="009F3AEE" w:rsidP="00D47028">
      <w:pPr>
        <w:widowControl w:val="0"/>
        <w:autoSpaceDE w:val="0"/>
        <w:autoSpaceDN w:val="0"/>
        <w:spacing w:after="0" w:line="240" w:lineRule="auto"/>
        <w:ind w:left="100"/>
        <w:outlineLvl w:val="0"/>
        <w:rPr>
          <w:rFonts w:ascii="Open Sans" w:eastAsia="Tahoma" w:hAnsi="Open Sans" w:cs="Open Sans"/>
          <w:sz w:val="24"/>
          <w:szCs w:val="24"/>
          <w:lang w:eastAsia="en-GB" w:bidi="en-GB"/>
        </w:rPr>
      </w:pPr>
    </w:p>
    <w:p w14:paraId="777CE31A" w14:textId="5CD57E87" w:rsidR="009F3AEE" w:rsidRPr="006F7D4E" w:rsidRDefault="009F3AEE" w:rsidP="009F3AEE">
      <w:pPr>
        <w:pStyle w:val="Default"/>
        <w:rPr>
          <w:rStyle w:val="cf01"/>
          <w:rFonts w:ascii="Open Sans" w:hAnsi="Open Sans" w:cs="Open Sans"/>
          <w:sz w:val="22"/>
          <w:szCs w:val="22"/>
        </w:rPr>
      </w:pPr>
      <w:r w:rsidRPr="006F7D4E">
        <w:rPr>
          <w:rFonts w:ascii="Open Sans" w:eastAsia="Tahoma" w:hAnsi="Open Sans" w:cs="Open Sans"/>
          <w:sz w:val="22"/>
          <w:szCs w:val="22"/>
          <w:lang w:eastAsia="en-GB" w:bidi="en-GB"/>
        </w:rPr>
        <w:t xml:space="preserve">Twin is committed to a culture of continuous quality improvement with </w:t>
      </w:r>
      <w:r w:rsidR="00D129DF" w:rsidRPr="006F7D4E">
        <w:rPr>
          <w:rFonts w:ascii="Open Sans" w:eastAsia="Tahoma" w:hAnsi="Open Sans" w:cs="Open Sans"/>
          <w:sz w:val="22"/>
          <w:szCs w:val="22"/>
          <w:lang w:eastAsia="en-GB" w:bidi="en-GB"/>
        </w:rPr>
        <w:t xml:space="preserve">a </w:t>
      </w:r>
      <w:r w:rsidR="00D129DF" w:rsidRPr="006F7D4E">
        <w:rPr>
          <w:rFonts w:ascii="Open Sans" w:hAnsi="Open Sans" w:cs="Open Sans"/>
          <w:sz w:val="22"/>
          <w:szCs w:val="22"/>
        </w:rPr>
        <w:t>focus</w:t>
      </w:r>
      <w:r w:rsidRPr="006F7D4E">
        <w:rPr>
          <w:rFonts w:ascii="Open Sans" w:hAnsi="Open Sans" w:cs="Open Sans"/>
          <w:sz w:val="22"/>
          <w:szCs w:val="22"/>
        </w:rPr>
        <w:t xml:space="preserve"> on improving quality and consistency at all levels and in all sections of the organisation. We will </w:t>
      </w:r>
      <w:r w:rsidRPr="006F7D4E">
        <w:rPr>
          <w:rStyle w:val="cf01"/>
          <w:rFonts w:ascii="Open Sans" w:hAnsi="Open Sans" w:cs="Open Sans"/>
          <w:sz w:val="22"/>
          <w:szCs w:val="22"/>
        </w:rPr>
        <w:t xml:space="preserve">continuously seek to improve the current provisions and raise standards to benefit the Learner. </w:t>
      </w:r>
    </w:p>
    <w:p w14:paraId="32DED73D" w14:textId="77777777" w:rsidR="009F3AEE" w:rsidRPr="006F7D4E" w:rsidRDefault="009F3AEE" w:rsidP="009F3AEE">
      <w:pPr>
        <w:pStyle w:val="Default"/>
        <w:rPr>
          <w:rStyle w:val="cf01"/>
          <w:rFonts w:ascii="Open Sans" w:hAnsi="Open Sans" w:cs="Open Sans"/>
          <w:sz w:val="22"/>
          <w:szCs w:val="22"/>
        </w:rPr>
      </w:pPr>
    </w:p>
    <w:p w14:paraId="14429FE7" w14:textId="77777777" w:rsidR="00D51CB8" w:rsidRDefault="009F3AEE" w:rsidP="00255410">
      <w:pPr>
        <w:pStyle w:val="Default"/>
        <w:rPr>
          <w:rStyle w:val="cf01"/>
          <w:rFonts w:ascii="Open Sans" w:hAnsi="Open Sans" w:cs="Open Sans"/>
          <w:sz w:val="22"/>
          <w:szCs w:val="22"/>
        </w:rPr>
      </w:pPr>
      <w:r w:rsidRPr="006F7D4E">
        <w:rPr>
          <w:rStyle w:val="cf01"/>
          <w:rFonts w:ascii="Open Sans" w:hAnsi="Open Sans" w:cs="Open Sans"/>
          <w:sz w:val="22"/>
          <w:szCs w:val="22"/>
        </w:rPr>
        <w:t>Twin will</w:t>
      </w:r>
      <w:r w:rsidR="00D51CB8">
        <w:rPr>
          <w:rStyle w:val="cf01"/>
          <w:rFonts w:ascii="Open Sans" w:hAnsi="Open Sans" w:cs="Open Sans"/>
          <w:sz w:val="22"/>
          <w:szCs w:val="22"/>
        </w:rPr>
        <w:t>:</w:t>
      </w:r>
    </w:p>
    <w:p w14:paraId="421ABD73" w14:textId="48905625" w:rsidR="00D51CB8" w:rsidRPr="00D51CB8" w:rsidRDefault="00D51CB8" w:rsidP="00D51CB8">
      <w:pPr>
        <w:pStyle w:val="Default"/>
        <w:numPr>
          <w:ilvl w:val="0"/>
          <w:numId w:val="3"/>
        </w:numPr>
        <w:rPr>
          <w:rFonts w:ascii="Open Sans" w:hAnsi="Open Sans" w:cs="Open Sans"/>
          <w:sz w:val="22"/>
          <w:szCs w:val="22"/>
        </w:rPr>
      </w:pPr>
      <w:r>
        <w:rPr>
          <w:rStyle w:val="cf01"/>
          <w:rFonts w:ascii="Open Sans" w:hAnsi="Open Sans" w:cs="Open Sans"/>
          <w:sz w:val="22"/>
          <w:szCs w:val="22"/>
        </w:rPr>
        <w:t>E</w:t>
      </w:r>
      <w:r w:rsidR="009F3AEE" w:rsidRPr="006F7D4E">
        <w:rPr>
          <w:rStyle w:val="cf01"/>
          <w:rFonts w:ascii="Open Sans" w:hAnsi="Open Sans" w:cs="Open Sans"/>
          <w:sz w:val="22"/>
          <w:szCs w:val="22"/>
        </w:rPr>
        <w:t xml:space="preserve">nsure there are arrangements for assessing the progress of individual learners and </w:t>
      </w:r>
      <w:r w:rsidR="00255410" w:rsidRPr="006F7D4E">
        <w:rPr>
          <w:rStyle w:val="cf01"/>
          <w:rFonts w:ascii="Open Sans" w:hAnsi="Open Sans" w:cs="Open Sans"/>
          <w:sz w:val="22"/>
          <w:szCs w:val="22"/>
        </w:rPr>
        <w:t xml:space="preserve">maintain robust procedures for regular monitoring of the delivery of the </w:t>
      </w:r>
      <w:r w:rsidR="00D129DF" w:rsidRPr="006F7D4E">
        <w:rPr>
          <w:rStyle w:val="cf01"/>
          <w:rFonts w:ascii="Open Sans" w:hAnsi="Open Sans" w:cs="Open Sans"/>
          <w:sz w:val="22"/>
          <w:szCs w:val="22"/>
        </w:rPr>
        <w:t>programmes</w:t>
      </w:r>
    </w:p>
    <w:p w14:paraId="018A1EBD" w14:textId="7B7DAEAA" w:rsidR="00D51CB8" w:rsidRPr="00D51CB8" w:rsidRDefault="00D51CB8" w:rsidP="00D51CB8">
      <w:pPr>
        <w:pStyle w:val="Default"/>
        <w:numPr>
          <w:ilvl w:val="0"/>
          <w:numId w:val="3"/>
        </w:numPr>
        <w:rPr>
          <w:rFonts w:ascii="Open Sans" w:hAnsi="Open Sans" w:cs="Open Sans"/>
          <w:sz w:val="22"/>
          <w:szCs w:val="22"/>
        </w:rPr>
      </w:pPr>
      <w:r w:rsidRPr="4962D7A5">
        <w:rPr>
          <w:rFonts w:ascii="Open Sans" w:hAnsi="Open Sans" w:cs="Open Sans"/>
          <w:color w:val="0A0B0B"/>
          <w:sz w:val="22"/>
          <w:szCs w:val="22"/>
        </w:rPr>
        <w:t>S</w:t>
      </w:r>
      <w:r w:rsidR="00255410" w:rsidRPr="4962D7A5">
        <w:rPr>
          <w:rFonts w:ascii="Open Sans" w:hAnsi="Open Sans" w:cs="Open Sans"/>
          <w:color w:val="0A0B0B"/>
          <w:sz w:val="22"/>
          <w:szCs w:val="22"/>
        </w:rPr>
        <w:t>upport, develop and share good practice through</w:t>
      </w:r>
      <w:r w:rsidRPr="4962D7A5">
        <w:rPr>
          <w:rFonts w:ascii="Open Sans" w:hAnsi="Open Sans" w:cs="Open Sans"/>
          <w:color w:val="0A0B0B"/>
          <w:sz w:val="22"/>
          <w:szCs w:val="22"/>
        </w:rPr>
        <w:t xml:space="preserve"> a</w:t>
      </w:r>
      <w:r w:rsidR="00255410" w:rsidRPr="4962D7A5">
        <w:rPr>
          <w:rFonts w:ascii="Open Sans" w:hAnsi="Open Sans" w:cs="Open Sans"/>
          <w:color w:val="0A0B0B"/>
          <w:sz w:val="22"/>
          <w:szCs w:val="22"/>
        </w:rPr>
        <w:t xml:space="preserve"> regular programme of quality assurance checks on the education and training provided, including spot checks and face to face interviews with staff and learners, </w:t>
      </w:r>
      <w:r w:rsidR="00255410" w:rsidRPr="4962D7A5">
        <w:rPr>
          <w:rFonts w:ascii="Open Sans" w:eastAsia="Tahoma" w:hAnsi="Open Sans" w:cs="Open Sans"/>
          <w:sz w:val="22"/>
          <w:szCs w:val="22"/>
          <w:lang w:eastAsia="en-GB" w:bidi="en-GB"/>
        </w:rPr>
        <w:t>observations of teaching and learning</w:t>
      </w:r>
    </w:p>
    <w:p w14:paraId="05EC7F08" w14:textId="71D866A6" w:rsidR="00D51CB8" w:rsidRPr="00D51CB8" w:rsidRDefault="00D51CB8" w:rsidP="00D51CB8">
      <w:pPr>
        <w:pStyle w:val="Default"/>
        <w:numPr>
          <w:ilvl w:val="0"/>
          <w:numId w:val="3"/>
        </w:numPr>
        <w:rPr>
          <w:rFonts w:ascii="Open Sans" w:hAnsi="Open Sans" w:cs="Open Sans"/>
          <w:sz w:val="22"/>
          <w:szCs w:val="22"/>
        </w:rPr>
      </w:pPr>
      <w:r>
        <w:rPr>
          <w:rFonts w:ascii="Open Sans" w:eastAsia="Tahoma" w:hAnsi="Open Sans" w:cs="Open Sans"/>
          <w:sz w:val="22"/>
          <w:szCs w:val="22"/>
          <w:lang w:eastAsia="en-GB" w:bidi="en-GB"/>
        </w:rPr>
        <w:t>R</w:t>
      </w:r>
      <w:r w:rsidR="00255410" w:rsidRPr="006F7D4E">
        <w:rPr>
          <w:rFonts w:ascii="Open Sans" w:eastAsia="Tahoma" w:hAnsi="Open Sans" w:cs="Open Sans"/>
          <w:sz w:val="22"/>
          <w:szCs w:val="22"/>
          <w:lang w:eastAsia="en-GB" w:bidi="en-GB"/>
        </w:rPr>
        <w:t>eview and analys</w:t>
      </w:r>
      <w:r>
        <w:rPr>
          <w:rFonts w:ascii="Open Sans" w:eastAsia="Tahoma" w:hAnsi="Open Sans" w:cs="Open Sans"/>
          <w:sz w:val="22"/>
          <w:szCs w:val="22"/>
          <w:lang w:eastAsia="en-GB" w:bidi="en-GB"/>
        </w:rPr>
        <w:t>e</w:t>
      </w:r>
      <w:r w:rsidR="00255410" w:rsidRPr="006F7D4E">
        <w:rPr>
          <w:rFonts w:ascii="Open Sans" w:eastAsia="Tahoma" w:hAnsi="Open Sans" w:cs="Open Sans"/>
          <w:sz w:val="22"/>
          <w:szCs w:val="22"/>
          <w:lang w:eastAsia="en-GB" w:bidi="en-GB"/>
        </w:rPr>
        <w:t xml:space="preserve"> learner and employer feedback</w:t>
      </w:r>
    </w:p>
    <w:p w14:paraId="46250D69" w14:textId="433FD61C" w:rsidR="006F7D4E" w:rsidRPr="00986970" w:rsidRDefault="00D51CB8" w:rsidP="00255410">
      <w:pPr>
        <w:pStyle w:val="Default"/>
        <w:numPr>
          <w:ilvl w:val="0"/>
          <w:numId w:val="3"/>
        </w:numPr>
        <w:rPr>
          <w:rFonts w:ascii="Open Sans" w:hAnsi="Open Sans" w:cs="Open Sans"/>
          <w:sz w:val="22"/>
          <w:szCs w:val="22"/>
        </w:rPr>
      </w:pPr>
      <w:r w:rsidRPr="00986970">
        <w:rPr>
          <w:rFonts w:ascii="Open Sans" w:eastAsia="Tahoma" w:hAnsi="Open Sans" w:cs="Open Sans"/>
          <w:sz w:val="22"/>
          <w:szCs w:val="22"/>
          <w:lang w:eastAsia="en-GB" w:bidi="en-GB"/>
        </w:rPr>
        <w:t xml:space="preserve">Review and analyse </w:t>
      </w:r>
      <w:r w:rsidR="00255410" w:rsidRPr="00986970">
        <w:rPr>
          <w:rFonts w:ascii="Open Sans" w:hAnsi="Open Sans" w:cs="Open Sans"/>
          <w:sz w:val="22"/>
          <w:szCs w:val="22"/>
        </w:rPr>
        <w:t xml:space="preserve">complaints and </w:t>
      </w:r>
      <w:r w:rsidR="00D129DF" w:rsidRPr="00986970">
        <w:rPr>
          <w:rFonts w:ascii="Open Sans" w:hAnsi="Open Sans" w:cs="Open Sans"/>
          <w:sz w:val="22"/>
          <w:szCs w:val="22"/>
        </w:rPr>
        <w:t>appeals to</w:t>
      </w:r>
      <w:r w:rsidR="00255410" w:rsidRPr="00986970">
        <w:rPr>
          <w:rFonts w:ascii="Open Sans" w:hAnsi="Open Sans" w:cs="Open Sans"/>
          <w:sz w:val="22"/>
          <w:szCs w:val="22"/>
        </w:rPr>
        <w:t xml:space="preserve"> identify root causes of the incidents and identify areas that need improving to prevent reoccurrence</w:t>
      </w:r>
    </w:p>
    <w:p w14:paraId="4DB7C633" w14:textId="0E50B995" w:rsidR="006F7D4E" w:rsidRPr="006F7D4E" w:rsidRDefault="00986970" w:rsidP="00986970">
      <w:pPr>
        <w:pStyle w:val="Default"/>
        <w:numPr>
          <w:ilvl w:val="0"/>
          <w:numId w:val="3"/>
        </w:numPr>
        <w:rPr>
          <w:rFonts w:ascii="Open Sans" w:hAnsi="Open Sans" w:cs="Open Sans"/>
          <w:sz w:val="22"/>
          <w:szCs w:val="22"/>
        </w:rPr>
      </w:pPr>
      <w:r>
        <w:rPr>
          <w:rFonts w:ascii="Open Sans" w:hAnsi="Open Sans" w:cs="Open Sans"/>
          <w:sz w:val="22"/>
          <w:szCs w:val="22"/>
        </w:rPr>
        <w:t>Utili</w:t>
      </w:r>
      <w:r w:rsidR="006F7D4E" w:rsidRPr="006F7D4E">
        <w:rPr>
          <w:rFonts w:ascii="Open Sans" w:hAnsi="Open Sans" w:cs="Open Sans"/>
          <w:sz w:val="22"/>
          <w:szCs w:val="22"/>
        </w:rPr>
        <w:t>se appropriate</w:t>
      </w:r>
      <w:r w:rsidR="00255410" w:rsidRPr="006F7D4E">
        <w:rPr>
          <w:rFonts w:ascii="Open Sans" w:hAnsi="Open Sans" w:cs="Open Sans"/>
          <w:sz w:val="22"/>
          <w:szCs w:val="22"/>
        </w:rPr>
        <w:t xml:space="preserve"> continuous improvement tools and techniques to identify areas for “deep dives” to improve efficient, effective, and qualitative improvements which continually provide value for mone</w:t>
      </w:r>
      <w:r>
        <w:rPr>
          <w:rFonts w:ascii="Open Sans" w:hAnsi="Open Sans" w:cs="Open Sans"/>
          <w:sz w:val="22"/>
          <w:szCs w:val="22"/>
        </w:rPr>
        <w:t>y</w:t>
      </w:r>
    </w:p>
    <w:p w14:paraId="2ADF78E3" w14:textId="0D88C4C5" w:rsidR="006F7D4E" w:rsidRPr="006F7D4E" w:rsidRDefault="00986970" w:rsidP="00986970">
      <w:pPr>
        <w:pStyle w:val="Default"/>
        <w:numPr>
          <w:ilvl w:val="0"/>
          <w:numId w:val="3"/>
        </w:numPr>
        <w:rPr>
          <w:rFonts w:ascii="Open Sans" w:hAnsi="Open Sans" w:cs="Open Sans"/>
          <w:sz w:val="22"/>
          <w:szCs w:val="22"/>
        </w:rPr>
      </w:pPr>
      <w:r>
        <w:rPr>
          <w:rFonts w:ascii="Open Sans" w:hAnsi="Open Sans" w:cs="Open Sans"/>
          <w:sz w:val="22"/>
          <w:szCs w:val="22"/>
        </w:rPr>
        <w:t>E</w:t>
      </w:r>
      <w:r w:rsidR="006F7D4E" w:rsidRPr="006F7D4E">
        <w:rPr>
          <w:rFonts w:ascii="Open Sans" w:hAnsi="Open Sans" w:cs="Open Sans"/>
          <w:sz w:val="22"/>
          <w:szCs w:val="22"/>
        </w:rPr>
        <w:t>nsure all stakeholders, employees, learners, and participants have a voice in the design and improvement of services</w:t>
      </w:r>
    </w:p>
    <w:p w14:paraId="5A2D5615" w14:textId="126CED9F" w:rsidR="006F7D4E" w:rsidRPr="006F7D4E" w:rsidRDefault="00986970" w:rsidP="00986970">
      <w:pPr>
        <w:pStyle w:val="Default"/>
        <w:numPr>
          <w:ilvl w:val="0"/>
          <w:numId w:val="3"/>
        </w:numPr>
        <w:rPr>
          <w:rFonts w:ascii="Open Sans" w:hAnsi="Open Sans" w:cs="Open Sans"/>
          <w:sz w:val="22"/>
          <w:szCs w:val="22"/>
        </w:rPr>
      </w:pPr>
      <w:r>
        <w:rPr>
          <w:rFonts w:ascii="Open Sans" w:hAnsi="Open Sans" w:cs="Open Sans"/>
          <w:sz w:val="22"/>
          <w:szCs w:val="22"/>
        </w:rPr>
        <w:t>E</w:t>
      </w:r>
      <w:r w:rsidR="006F7D4E" w:rsidRPr="006F7D4E">
        <w:rPr>
          <w:rFonts w:ascii="Open Sans" w:hAnsi="Open Sans" w:cs="Open Sans"/>
          <w:sz w:val="22"/>
          <w:szCs w:val="22"/>
        </w:rPr>
        <w:t>nsure an effective User Involvement Strategy and supporting policies are in place that span all delivery</w:t>
      </w:r>
    </w:p>
    <w:p w14:paraId="1E3B6540" w14:textId="184C579F" w:rsidR="006F7D4E" w:rsidRDefault="006F7D4E" w:rsidP="006F7D4E">
      <w:pPr>
        <w:pStyle w:val="Default"/>
        <w:rPr>
          <w:sz w:val="23"/>
          <w:szCs w:val="23"/>
        </w:rPr>
      </w:pPr>
    </w:p>
    <w:p w14:paraId="26D52C34" w14:textId="77777777" w:rsidR="00D47028" w:rsidRPr="003D166D" w:rsidRDefault="00D47028" w:rsidP="00D47028">
      <w:pPr>
        <w:widowControl w:val="0"/>
        <w:autoSpaceDE w:val="0"/>
        <w:autoSpaceDN w:val="0"/>
        <w:spacing w:before="4" w:after="0" w:line="240" w:lineRule="auto"/>
        <w:rPr>
          <w:rFonts w:ascii="Open Sans" w:eastAsia="Tahoma" w:hAnsi="Open Sans" w:cs="Open Sans"/>
          <w:sz w:val="20"/>
          <w:szCs w:val="21"/>
          <w:lang w:eastAsia="en-GB" w:bidi="en-GB"/>
        </w:rPr>
      </w:pPr>
    </w:p>
    <w:p w14:paraId="5B0DA05B" w14:textId="6D10CC75" w:rsidR="00D47028" w:rsidRPr="003D166D" w:rsidRDefault="00D47028" w:rsidP="00D47028">
      <w:pPr>
        <w:widowControl w:val="0"/>
        <w:autoSpaceDE w:val="0"/>
        <w:autoSpaceDN w:val="0"/>
        <w:spacing w:after="0" w:line="240" w:lineRule="auto"/>
        <w:ind w:left="100"/>
        <w:outlineLvl w:val="0"/>
        <w:rPr>
          <w:rFonts w:ascii="Open Sans" w:eastAsia="Tahoma" w:hAnsi="Open Sans" w:cs="Open Sans"/>
          <w:b/>
          <w:bCs/>
          <w:sz w:val="24"/>
          <w:szCs w:val="24"/>
          <w:lang w:eastAsia="en-GB" w:bidi="en-GB"/>
        </w:rPr>
      </w:pPr>
      <w:r w:rsidRPr="003D166D">
        <w:rPr>
          <w:rFonts w:ascii="Open Sans" w:eastAsia="Tahoma" w:hAnsi="Open Sans" w:cs="Open Sans"/>
          <w:b/>
          <w:bCs/>
          <w:sz w:val="24"/>
          <w:szCs w:val="24"/>
          <w:lang w:eastAsia="en-GB" w:bidi="en-GB"/>
        </w:rPr>
        <w:t>Subcontracting Charges and Fees</w:t>
      </w:r>
    </w:p>
    <w:p w14:paraId="34CD9841" w14:textId="77777777" w:rsidR="00D47028" w:rsidRPr="003D166D" w:rsidRDefault="00D47028" w:rsidP="00D47028">
      <w:pPr>
        <w:widowControl w:val="0"/>
        <w:autoSpaceDE w:val="0"/>
        <w:autoSpaceDN w:val="0"/>
        <w:spacing w:before="9" w:after="0" w:line="240" w:lineRule="auto"/>
        <w:ind w:left="100" w:right="275"/>
        <w:rPr>
          <w:rFonts w:ascii="Open Sans" w:eastAsia="Tahoma" w:hAnsi="Open Sans" w:cs="Open Sans"/>
          <w:lang w:eastAsia="en-GB" w:bidi="en-GB"/>
        </w:rPr>
      </w:pPr>
      <w:r w:rsidRPr="003D166D">
        <w:rPr>
          <w:rFonts w:ascii="Open Sans" w:eastAsia="Tahoma" w:hAnsi="Open Sans" w:cs="Open Sans"/>
          <w:lang w:eastAsia="en-GB" w:bidi="en-GB"/>
        </w:rPr>
        <w:t xml:space="preserve">For all funded provision, we will pay the full value allocated by the funding body, including any uplifts applied less the agreed management fee. Our </w:t>
      </w:r>
      <w:proofErr w:type="gramStart"/>
      <w:r w:rsidRPr="003D166D">
        <w:rPr>
          <w:rFonts w:ascii="Open Sans" w:eastAsia="Tahoma" w:hAnsi="Open Sans" w:cs="Open Sans"/>
          <w:lang w:eastAsia="en-GB" w:bidi="en-GB"/>
        </w:rPr>
        <w:t>Management</w:t>
      </w:r>
      <w:proofErr w:type="gramEnd"/>
      <w:r w:rsidRPr="003D166D">
        <w:rPr>
          <w:rFonts w:ascii="Open Sans" w:eastAsia="Tahoma" w:hAnsi="Open Sans" w:cs="Open Sans"/>
          <w:lang w:eastAsia="en-GB" w:bidi="en-GB"/>
        </w:rPr>
        <w:t xml:space="preserve"> fees are determined by risk factors identified through our Due Diligence process which will identify an approval level, based on the approval level and through discussion or negotiation we will agree the contract content and value, in line with our SCMF.</w:t>
      </w:r>
    </w:p>
    <w:p w14:paraId="4E56BD3F" w14:textId="77777777" w:rsidR="00D47028" w:rsidRPr="003D166D" w:rsidRDefault="00D47028" w:rsidP="00D47028">
      <w:pPr>
        <w:widowControl w:val="0"/>
        <w:autoSpaceDE w:val="0"/>
        <w:autoSpaceDN w:val="0"/>
        <w:spacing w:before="10" w:after="0" w:line="240" w:lineRule="auto"/>
        <w:rPr>
          <w:rFonts w:ascii="Open Sans" w:eastAsia="Tahoma" w:hAnsi="Open Sans" w:cs="Open Sans"/>
          <w:sz w:val="16"/>
          <w:szCs w:val="16"/>
          <w:lang w:eastAsia="en-GB" w:bidi="en-GB"/>
        </w:rPr>
      </w:pPr>
    </w:p>
    <w:p w14:paraId="70A6E63C" w14:textId="77777777" w:rsidR="00D47028" w:rsidRPr="003D166D" w:rsidRDefault="00D47028" w:rsidP="00D47028">
      <w:pPr>
        <w:widowControl w:val="0"/>
        <w:autoSpaceDE w:val="0"/>
        <w:autoSpaceDN w:val="0"/>
        <w:spacing w:after="0" w:line="240" w:lineRule="auto"/>
        <w:ind w:left="100"/>
        <w:rPr>
          <w:rFonts w:ascii="Open Sans" w:eastAsia="Tahoma" w:hAnsi="Open Sans" w:cs="Open Sans"/>
          <w:lang w:eastAsia="en-GB" w:bidi="en-GB"/>
        </w:rPr>
      </w:pPr>
      <w:r w:rsidRPr="003D166D">
        <w:rPr>
          <w:rFonts w:ascii="Open Sans" w:eastAsia="Tahoma" w:hAnsi="Open Sans" w:cs="Open Sans"/>
          <w:lang w:eastAsia="en-GB" w:bidi="en-GB"/>
        </w:rPr>
        <w:t>The subcontract management fee for funded provision and AEB is 20%.</w:t>
      </w:r>
    </w:p>
    <w:p w14:paraId="4DDB8F85" w14:textId="77777777" w:rsidR="00D47028" w:rsidRPr="003D166D" w:rsidRDefault="00D47028" w:rsidP="00D47028">
      <w:pPr>
        <w:widowControl w:val="0"/>
        <w:autoSpaceDE w:val="0"/>
        <w:autoSpaceDN w:val="0"/>
        <w:spacing w:before="2" w:after="0" w:line="240" w:lineRule="auto"/>
        <w:rPr>
          <w:rFonts w:ascii="Open Sans" w:eastAsia="Tahoma" w:hAnsi="Open Sans" w:cs="Open Sans"/>
          <w:sz w:val="16"/>
          <w:szCs w:val="16"/>
          <w:lang w:eastAsia="en-GB" w:bidi="en-GB"/>
        </w:rPr>
      </w:pPr>
    </w:p>
    <w:p w14:paraId="7B1DC7BD" w14:textId="77777777" w:rsidR="00D47028" w:rsidRPr="003D166D" w:rsidRDefault="00D47028" w:rsidP="00D47028">
      <w:pPr>
        <w:widowControl w:val="0"/>
        <w:autoSpaceDE w:val="0"/>
        <w:autoSpaceDN w:val="0"/>
        <w:spacing w:after="0" w:line="240" w:lineRule="auto"/>
        <w:ind w:left="100" w:right="442"/>
        <w:rPr>
          <w:rFonts w:ascii="Open Sans" w:eastAsia="Tahoma" w:hAnsi="Open Sans" w:cs="Open Sans"/>
          <w:lang w:eastAsia="en-GB" w:bidi="en-GB"/>
        </w:rPr>
      </w:pPr>
      <w:r w:rsidRPr="003D166D">
        <w:rPr>
          <w:rFonts w:ascii="Open Sans" w:eastAsia="Tahoma" w:hAnsi="Open Sans" w:cs="Open Sans"/>
          <w:lang w:eastAsia="en-GB" w:bidi="en-GB"/>
        </w:rPr>
        <w:t>The value stipulated in the contract is paid following evidenced completion of the start qualifying period, any further contract specific Milestone payments will be made following evidenced achievement of the relevant milestone and the remaining value due will be paid on evidenced programme completion. Any progression payments will be made following the evidence of relevant progression criteria.</w:t>
      </w:r>
    </w:p>
    <w:p w14:paraId="5771398D" w14:textId="77777777" w:rsidR="00D47028" w:rsidRPr="003D166D" w:rsidRDefault="00D47028">
      <w:pPr>
        <w:rPr>
          <w:rFonts w:ascii="Open Sans" w:hAnsi="Open Sans" w:cs="Open Sans"/>
          <w:sz w:val="16"/>
          <w:szCs w:val="16"/>
        </w:rPr>
      </w:pPr>
    </w:p>
    <w:p w14:paraId="51BC72AC" w14:textId="77777777" w:rsidR="00D47028" w:rsidRPr="003D166D" w:rsidRDefault="00D47028" w:rsidP="00D47028">
      <w:pPr>
        <w:widowControl w:val="0"/>
        <w:autoSpaceDE w:val="0"/>
        <w:autoSpaceDN w:val="0"/>
        <w:spacing w:before="102" w:after="0" w:line="253" w:lineRule="exact"/>
        <w:ind w:left="100"/>
        <w:outlineLvl w:val="0"/>
        <w:rPr>
          <w:rFonts w:ascii="Open Sans" w:eastAsia="Tahoma" w:hAnsi="Open Sans" w:cs="Open Sans"/>
          <w:b/>
          <w:bCs/>
          <w:sz w:val="24"/>
          <w:szCs w:val="24"/>
          <w:lang w:eastAsia="en-GB" w:bidi="en-GB"/>
        </w:rPr>
      </w:pPr>
      <w:r w:rsidRPr="003D166D">
        <w:rPr>
          <w:rFonts w:ascii="Open Sans" w:eastAsia="Tahoma" w:hAnsi="Open Sans" w:cs="Open Sans"/>
          <w:b/>
          <w:bCs/>
          <w:sz w:val="24"/>
          <w:szCs w:val="24"/>
          <w:lang w:eastAsia="en-GB" w:bidi="en-GB"/>
        </w:rPr>
        <w:t>What our Management Fees Cover</w:t>
      </w:r>
    </w:p>
    <w:p w14:paraId="458817BC" w14:textId="77777777" w:rsidR="00D47028" w:rsidRPr="003D166D" w:rsidRDefault="00D47028" w:rsidP="00D47028">
      <w:pPr>
        <w:widowControl w:val="0"/>
        <w:autoSpaceDE w:val="0"/>
        <w:autoSpaceDN w:val="0"/>
        <w:spacing w:after="0" w:line="253" w:lineRule="exact"/>
        <w:ind w:left="100"/>
        <w:rPr>
          <w:rFonts w:ascii="Open Sans" w:eastAsia="Tahoma" w:hAnsi="Open Sans" w:cs="Open Sans"/>
          <w:lang w:eastAsia="en-GB" w:bidi="en-GB"/>
        </w:rPr>
      </w:pPr>
      <w:r w:rsidRPr="003D166D">
        <w:rPr>
          <w:rFonts w:ascii="Open Sans" w:eastAsia="Tahoma" w:hAnsi="Open Sans" w:cs="Open Sans"/>
          <w:lang w:eastAsia="en-GB" w:bidi="en-GB"/>
        </w:rPr>
        <w:t>Twin will provide a wide range of services to support our SCPs which may include the following:</w:t>
      </w:r>
    </w:p>
    <w:p w14:paraId="11036CAE" w14:textId="77777777" w:rsidR="00D47028" w:rsidRPr="003D166D" w:rsidRDefault="00D47028" w:rsidP="00D47028">
      <w:pPr>
        <w:widowControl w:val="0"/>
        <w:numPr>
          <w:ilvl w:val="0"/>
          <w:numId w:val="1"/>
        </w:numPr>
        <w:tabs>
          <w:tab w:val="left" w:pos="820"/>
          <w:tab w:val="left" w:pos="821"/>
        </w:tabs>
        <w:autoSpaceDE w:val="0"/>
        <w:autoSpaceDN w:val="0"/>
        <w:spacing w:before="4" w:after="0" w:line="240" w:lineRule="auto"/>
        <w:ind w:hanging="361"/>
        <w:rPr>
          <w:rFonts w:ascii="Open Sans" w:eastAsia="Tahoma" w:hAnsi="Open Sans" w:cs="Open Sans"/>
          <w:lang w:eastAsia="en-GB" w:bidi="en-GB"/>
        </w:rPr>
      </w:pPr>
      <w:r w:rsidRPr="003D166D">
        <w:rPr>
          <w:rFonts w:ascii="Open Sans" w:eastAsia="Tahoma" w:hAnsi="Open Sans" w:cs="Open Sans"/>
          <w:lang w:eastAsia="en-GB" w:bidi="en-GB"/>
        </w:rPr>
        <w:t>Course and programme set up and mobilisation</w:t>
      </w:r>
      <w:r w:rsidRPr="003D166D">
        <w:rPr>
          <w:rFonts w:ascii="Open Sans" w:eastAsia="Tahoma" w:hAnsi="Open Sans" w:cs="Open Sans"/>
          <w:spacing w:val="-10"/>
          <w:lang w:eastAsia="en-GB" w:bidi="en-GB"/>
        </w:rPr>
        <w:t xml:space="preserve"> </w:t>
      </w:r>
      <w:r w:rsidRPr="003D166D">
        <w:rPr>
          <w:rFonts w:ascii="Open Sans" w:eastAsia="Tahoma" w:hAnsi="Open Sans" w:cs="Open Sans"/>
          <w:lang w:eastAsia="en-GB" w:bidi="en-GB"/>
        </w:rPr>
        <w:t>support</w:t>
      </w:r>
    </w:p>
    <w:p w14:paraId="4B6CF978" w14:textId="77777777" w:rsidR="00D47028" w:rsidRPr="003D166D" w:rsidRDefault="00D47028" w:rsidP="00D47028">
      <w:pPr>
        <w:widowControl w:val="0"/>
        <w:numPr>
          <w:ilvl w:val="0"/>
          <w:numId w:val="1"/>
        </w:numPr>
        <w:tabs>
          <w:tab w:val="left" w:pos="820"/>
          <w:tab w:val="left" w:pos="821"/>
        </w:tabs>
        <w:autoSpaceDE w:val="0"/>
        <w:autoSpaceDN w:val="0"/>
        <w:spacing w:before="2" w:after="0" w:line="257" w:lineRule="exact"/>
        <w:ind w:hanging="361"/>
        <w:rPr>
          <w:rFonts w:ascii="Open Sans" w:eastAsia="Tahoma" w:hAnsi="Open Sans" w:cs="Open Sans"/>
          <w:lang w:eastAsia="en-GB" w:bidi="en-GB"/>
        </w:rPr>
      </w:pPr>
      <w:r w:rsidRPr="003D166D">
        <w:rPr>
          <w:rFonts w:ascii="Open Sans" w:eastAsia="Tahoma" w:hAnsi="Open Sans" w:cs="Open Sans"/>
          <w:lang w:eastAsia="en-GB" w:bidi="en-GB"/>
        </w:rPr>
        <w:t>Due Diligence Support, including annual</w:t>
      </w:r>
      <w:r w:rsidRPr="003D166D">
        <w:rPr>
          <w:rFonts w:ascii="Open Sans" w:eastAsia="Tahoma" w:hAnsi="Open Sans" w:cs="Open Sans"/>
          <w:spacing w:val="-6"/>
          <w:lang w:eastAsia="en-GB" w:bidi="en-GB"/>
        </w:rPr>
        <w:t xml:space="preserve"> </w:t>
      </w:r>
      <w:r w:rsidRPr="003D166D">
        <w:rPr>
          <w:rFonts w:ascii="Open Sans" w:eastAsia="Tahoma" w:hAnsi="Open Sans" w:cs="Open Sans"/>
          <w:lang w:eastAsia="en-GB" w:bidi="en-GB"/>
        </w:rPr>
        <w:t>updates</w:t>
      </w:r>
    </w:p>
    <w:p w14:paraId="2EAB5B85" w14:textId="77777777" w:rsidR="00D47028" w:rsidRPr="003D166D" w:rsidRDefault="00D47028" w:rsidP="00D47028">
      <w:pPr>
        <w:widowControl w:val="0"/>
        <w:numPr>
          <w:ilvl w:val="0"/>
          <w:numId w:val="1"/>
        </w:numPr>
        <w:tabs>
          <w:tab w:val="left" w:pos="820"/>
          <w:tab w:val="left" w:pos="821"/>
        </w:tabs>
        <w:autoSpaceDE w:val="0"/>
        <w:autoSpaceDN w:val="0"/>
        <w:spacing w:after="0" w:line="257" w:lineRule="exact"/>
        <w:ind w:hanging="361"/>
        <w:rPr>
          <w:rFonts w:ascii="Open Sans" w:eastAsia="Tahoma" w:hAnsi="Open Sans" w:cs="Open Sans"/>
          <w:lang w:eastAsia="en-GB" w:bidi="en-GB"/>
        </w:rPr>
      </w:pPr>
      <w:r w:rsidRPr="003D166D">
        <w:rPr>
          <w:rFonts w:ascii="Open Sans" w:eastAsia="Tahoma" w:hAnsi="Open Sans" w:cs="Open Sans"/>
          <w:lang w:eastAsia="en-GB" w:bidi="en-GB"/>
        </w:rPr>
        <w:t>Assistance with policy writing where</w:t>
      </w:r>
      <w:r w:rsidRPr="003D166D">
        <w:rPr>
          <w:rFonts w:ascii="Open Sans" w:eastAsia="Tahoma" w:hAnsi="Open Sans" w:cs="Open Sans"/>
          <w:spacing w:val="-7"/>
          <w:lang w:eastAsia="en-GB" w:bidi="en-GB"/>
        </w:rPr>
        <w:t xml:space="preserve"> </w:t>
      </w:r>
      <w:r w:rsidRPr="003D166D">
        <w:rPr>
          <w:rFonts w:ascii="Open Sans" w:eastAsia="Tahoma" w:hAnsi="Open Sans" w:cs="Open Sans"/>
          <w:lang w:eastAsia="en-GB" w:bidi="en-GB"/>
        </w:rPr>
        <w:t>required</w:t>
      </w:r>
    </w:p>
    <w:p w14:paraId="7EE2B882" w14:textId="77777777" w:rsidR="00D47028" w:rsidRPr="003D166D" w:rsidRDefault="00D47028" w:rsidP="00D47028">
      <w:pPr>
        <w:widowControl w:val="0"/>
        <w:numPr>
          <w:ilvl w:val="0"/>
          <w:numId w:val="1"/>
        </w:numPr>
        <w:tabs>
          <w:tab w:val="left" w:pos="820"/>
          <w:tab w:val="left" w:pos="821"/>
        </w:tabs>
        <w:autoSpaceDE w:val="0"/>
        <w:autoSpaceDN w:val="0"/>
        <w:spacing w:before="2" w:after="0" w:line="255" w:lineRule="exact"/>
        <w:ind w:hanging="361"/>
        <w:rPr>
          <w:rFonts w:ascii="Open Sans" w:eastAsia="Tahoma" w:hAnsi="Open Sans" w:cs="Open Sans"/>
          <w:lang w:eastAsia="en-GB" w:bidi="en-GB"/>
        </w:rPr>
      </w:pPr>
      <w:r w:rsidRPr="003D166D">
        <w:rPr>
          <w:rFonts w:ascii="Open Sans" w:eastAsia="Tahoma" w:hAnsi="Open Sans" w:cs="Open Sans"/>
          <w:lang w:eastAsia="en-GB" w:bidi="en-GB"/>
        </w:rPr>
        <w:t>Dedicated Contract</w:t>
      </w:r>
      <w:r w:rsidRPr="003D166D">
        <w:rPr>
          <w:rFonts w:ascii="Open Sans" w:eastAsia="Tahoma" w:hAnsi="Open Sans" w:cs="Open Sans"/>
          <w:spacing w:val="-3"/>
          <w:lang w:eastAsia="en-GB" w:bidi="en-GB"/>
        </w:rPr>
        <w:t xml:space="preserve"> </w:t>
      </w:r>
      <w:r w:rsidRPr="003D166D">
        <w:rPr>
          <w:rFonts w:ascii="Open Sans" w:eastAsia="Tahoma" w:hAnsi="Open Sans" w:cs="Open Sans"/>
          <w:lang w:eastAsia="en-GB" w:bidi="en-GB"/>
        </w:rPr>
        <w:t>Manager</w:t>
      </w:r>
    </w:p>
    <w:p w14:paraId="3722276C" w14:textId="77777777" w:rsidR="00E46510" w:rsidRDefault="00D47028" w:rsidP="00E46510">
      <w:pPr>
        <w:widowControl w:val="0"/>
        <w:numPr>
          <w:ilvl w:val="0"/>
          <w:numId w:val="1"/>
        </w:numPr>
        <w:tabs>
          <w:tab w:val="left" w:pos="820"/>
          <w:tab w:val="left" w:pos="821"/>
        </w:tabs>
        <w:autoSpaceDE w:val="0"/>
        <w:autoSpaceDN w:val="0"/>
        <w:spacing w:after="0" w:line="253" w:lineRule="exact"/>
        <w:ind w:hanging="361"/>
        <w:rPr>
          <w:rFonts w:ascii="Open Sans" w:eastAsia="Tahoma" w:hAnsi="Open Sans" w:cs="Open Sans"/>
          <w:lang w:eastAsia="en-GB" w:bidi="en-GB"/>
        </w:rPr>
      </w:pPr>
      <w:r w:rsidRPr="003D166D">
        <w:rPr>
          <w:rFonts w:ascii="Open Sans" w:eastAsia="Tahoma" w:hAnsi="Open Sans" w:cs="Open Sans"/>
          <w:lang w:eastAsia="en-GB" w:bidi="en-GB"/>
        </w:rPr>
        <w:t xml:space="preserve">Access to our Quality </w:t>
      </w:r>
      <w:r w:rsidR="00E46510">
        <w:rPr>
          <w:rFonts w:ascii="Open Sans" w:eastAsia="Tahoma" w:hAnsi="Open Sans" w:cs="Open Sans"/>
          <w:lang w:eastAsia="en-GB" w:bidi="en-GB"/>
        </w:rPr>
        <w:t>Team</w:t>
      </w:r>
    </w:p>
    <w:p w14:paraId="5ACD4019" w14:textId="6DC83C40" w:rsidR="00D47028" w:rsidRPr="00E46510" w:rsidRDefault="00E46510" w:rsidP="00E46510">
      <w:pPr>
        <w:widowControl w:val="0"/>
        <w:numPr>
          <w:ilvl w:val="0"/>
          <w:numId w:val="1"/>
        </w:numPr>
        <w:tabs>
          <w:tab w:val="left" w:pos="820"/>
          <w:tab w:val="left" w:pos="821"/>
        </w:tabs>
        <w:autoSpaceDE w:val="0"/>
        <w:autoSpaceDN w:val="0"/>
        <w:spacing w:after="0" w:line="253" w:lineRule="exact"/>
        <w:ind w:hanging="361"/>
        <w:rPr>
          <w:rFonts w:ascii="Open Sans" w:eastAsia="Tahoma" w:hAnsi="Open Sans" w:cs="Open Sans"/>
          <w:lang w:eastAsia="en-GB" w:bidi="en-GB"/>
        </w:rPr>
      </w:pPr>
      <w:r>
        <w:rPr>
          <w:rFonts w:ascii="Open Sans" w:eastAsia="Tahoma" w:hAnsi="Open Sans" w:cs="Open Sans"/>
          <w:lang w:eastAsia="en-GB" w:bidi="en-GB"/>
        </w:rPr>
        <w:t>Access to our</w:t>
      </w:r>
      <w:r w:rsidR="00D47028" w:rsidRPr="00E46510">
        <w:rPr>
          <w:rFonts w:ascii="Open Sans" w:eastAsia="Tahoma" w:hAnsi="Open Sans" w:cs="Open Sans"/>
          <w:lang w:eastAsia="en-GB" w:bidi="en-GB"/>
        </w:rPr>
        <w:t xml:space="preserve"> Compliance</w:t>
      </w:r>
      <w:r w:rsidR="00D47028" w:rsidRPr="00E46510">
        <w:rPr>
          <w:rFonts w:ascii="Open Sans" w:eastAsia="Tahoma" w:hAnsi="Open Sans" w:cs="Open Sans"/>
          <w:spacing w:val="-7"/>
          <w:lang w:eastAsia="en-GB" w:bidi="en-GB"/>
        </w:rPr>
        <w:t xml:space="preserve"> </w:t>
      </w:r>
      <w:r w:rsidR="00D47028" w:rsidRPr="00E46510">
        <w:rPr>
          <w:rFonts w:ascii="Open Sans" w:eastAsia="Tahoma" w:hAnsi="Open Sans" w:cs="Open Sans"/>
          <w:lang w:eastAsia="en-GB" w:bidi="en-GB"/>
        </w:rPr>
        <w:t>Team</w:t>
      </w:r>
    </w:p>
    <w:p w14:paraId="0F20D614" w14:textId="77777777" w:rsidR="00D47028" w:rsidRPr="003D166D" w:rsidRDefault="00D47028" w:rsidP="00D47028">
      <w:pPr>
        <w:widowControl w:val="0"/>
        <w:numPr>
          <w:ilvl w:val="0"/>
          <w:numId w:val="1"/>
        </w:numPr>
        <w:tabs>
          <w:tab w:val="left" w:pos="820"/>
          <w:tab w:val="left" w:pos="821"/>
        </w:tabs>
        <w:autoSpaceDE w:val="0"/>
        <w:autoSpaceDN w:val="0"/>
        <w:spacing w:after="0" w:line="255" w:lineRule="exact"/>
        <w:ind w:hanging="361"/>
        <w:rPr>
          <w:rFonts w:ascii="Open Sans" w:eastAsia="Tahoma" w:hAnsi="Open Sans" w:cs="Open Sans"/>
          <w:lang w:eastAsia="en-GB" w:bidi="en-GB"/>
        </w:rPr>
      </w:pPr>
      <w:r w:rsidRPr="003D166D">
        <w:rPr>
          <w:rFonts w:ascii="Open Sans" w:eastAsia="Tahoma" w:hAnsi="Open Sans" w:cs="Open Sans"/>
          <w:lang w:eastAsia="en-GB" w:bidi="en-GB"/>
        </w:rPr>
        <w:t>Contract compliance advice and guidance on funding audit</w:t>
      </w:r>
      <w:r w:rsidRPr="003D166D">
        <w:rPr>
          <w:rFonts w:ascii="Open Sans" w:eastAsia="Tahoma" w:hAnsi="Open Sans" w:cs="Open Sans"/>
          <w:spacing w:val="-12"/>
          <w:lang w:eastAsia="en-GB" w:bidi="en-GB"/>
        </w:rPr>
        <w:t xml:space="preserve"> </w:t>
      </w:r>
      <w:r w:rsidRPr="003D166D">
        <w:rPr>
          <w:rFonts w:ascii="Open Sans" w:eastAsia="Tahoma" w:hAnsi="Open Sans" w:cs="Open Sans"/>
          <w:lang w:eastAsia="en-GB" w:bidi="en-GB"/>
        </w:rPr>
        <w:t>compliance</w:t>
      </w:r>
    </w:p>
    <w:p w14:paraId="79C16C51" w14:textId="77777777" w:rsidR="00D47028" w:rsidRPr="003D166D" w:rsidRDefault="00D47028" w:rsidP="00D47028">
      <w:pPr>
        <w:widowControl w:val="0"/>
        <w:numPr>
          <w:ilvl w:val="0"/>
          <w:numId w:val="1"/>
        </w:numPr>
        <w:tabs>
          <w:tab w:val="left" w:pos="820"/>
          <w:tab w:val="left" w:pos="821"/>
        </w:tabs>
        <w:autoSpaceDE w:val="0"/>
        <w:autoSpaceDN w:val="0"/>
        <w:spacing w:after="0" w:line="255" w:lineRule="exact"/>
        <w:ind w:hanging="361"/>
        <w:rPr>
          <w:rFonts w:ascii="Open Sans" w:eastAsia="Tahoma" w:hAnsi="Open Sans" w:cs="Open Sans"/>
          <w:lang w:eastAsia="en-GB" w:bidi="en-GB"/>
        </w:rPr>
      </w:pPr>
      <w:r w:rsidRPr="003D166D">
        <w:rPr>
          <w:rFonts w:ascii="Open Sans" w:eastAsia="Tahoma" w:hAnsi="Open Sans" w:cs="Open Sans"/>
          <w:lang w:eastAsia="en-GB" w:bidi="en-GB"/>
        </w:rPr>
        <w:t>Two tier compliance checks on all</w:t>
      </w:r>
      <w:r w:rsidRPr="003D166D">
        <w:rPr>
          <w:rFonts w:ascii="Open Sans" w:eastAsia="Tahoma" w:hAnsi="Open Sans" w:cs="Open Sans"/>
          <w:spacing w:val="-9"/>
          <w:lang w:eastAsia="en-GB" w:bidi="en-GB"/>
        </w:rPr>
        <w:t xml:space="preserve"> </w:t>
      </w:r>
      <w:r w:rsidRPr="003D166D">
        <w:rPr>
          <w:rFonts w:ascii="Open Sans" w:eastAsia="Tahoma" w:hAnsi="Open Sans" w:cs="Open Sans"/>
          <w:lang w:eastAsia="en-GB" w:bidi="en-GB"/>
        </w:rPr>
        <w:t>claims</w:t>
      </w:r>
    </w:p>
    <w:p w14:paraId="0C656254" w14:textId="77777777" w:rsidR="00D47028" w:rsidRPr="003D166D" w:rsidRDefault="00D47028" w:rsidP="00D47028">
      <w:pPr>
        <w:widowControl w:val="0"/>
        <w:numPr>
          <w:ilvl w:val="0"/>
          <w:numId w:val="1"/>
        </w:numPr>
        <w:tabs>
          <w:tab w:val="left" w:pos="820"/>
          <w:tab w:val="left" w:pos="821"/>
        </w:tabs>
        <w:autoSpaceDE w:val="0"/>
        <w:autoSpaceDN w:val="0"/>
        <w:spacing w:after="0" w:line="254" w:lineRule="exact"/>
        <w:ind w:hanging="361"/>
        <w:rPr>
          <w:rFonts w:ascii="Open Sans" w:eastAsia="Tahoma" w:hAnsi="Open Sans" w:cs="Open Sans"/>
          <w:lang w:eastAsia="en-GB" w:bidi="en-GB"/>
        </w:rPr>
      </w:pPr>
      <w:r w:rsidRPr="003D166D">
        <w:rPr>
          <w:rFonts w:ascii="Open Sans" w:eastAsia="Tahoma" w:hAnsi="Open Sans" w:cs="Open Sans"/>
          <w:lang w:eastAsia="en-GB" w:bidi="en-GB"/>
        </w:rPr>
        <w:t>System training where appropriate</w:t>
      </w:r>
    </w:p>
    <w:p w14:paraId="2879F095" w14:textId="77777777" w:rsidR="00D47028" w:rsidRPr="003D166D" w:rsidRDefault="00D47028" w:rsidP="00D47028">
      <w:pPr>
        <w:widowControl w:val="0"/>
        <w:numPr>
          <w:ilvl w:val="0"/>
          <w:numId w:val="1"/>
        </w:numPr>
        <w:tabs>
          <w:tab w:val="left" w:pos="820"/>
          <w:tab w:val="left" w:pos="821"/>
        </w:tabs>
        <w:autoSpaceDE w:val="0"/>
        <w:autoSpaceDN w:val="0"/>
        <w:spacing w:after="0" w:line="254" w:lineRule="exact"/>
        <w:ind w:hanging="361"/>
        <w:rPr>
          <w:rFonts w:ascii="Open Sans" w:eastAsia="Tahoma" w:hAnsi="Open Sans" w:cs="Open Sans"/>
          <w:lang w:eastAsia="en-GB" w:bidi="en-GB"/>
        </w:rPr>
      </w:pPr>
      <w:r w:rsidRPr="003D166D">
        <w:rPr>
          <w:rFonts w:ascii="Open Sans" w:eastAsia="Tahoma" w:hAnsi="Open Sans" w:cs="Open Sans"/>
          <w:lang w:eastAsia="en-GB" w:bidi="en-GB"/>
        </w:rPr>
        <w:t>Performance monthly review data in relation to retention and</w:t>
      </w:r>
      <w:r w:rsidRPr="003D166D">
        <w:rPr>
          <w:rFonts w:ascii="Open Sans" w:eastAsia="Tahoma" w:hAnsi="Open Sans" w:cs="Open Sans"/>
          <w:spacing w:val="-21"/>
          <w:lang w:eastAsia="en-GB" w:bidi="en-GB"/>
        </w:rPr>
        <w:t xml:space="preserve"> </w:t>
      </w:r>
      <w:r w:rsidRPr="003D166D">
        <w:rPr>
          <w:rFonts w:ascii="Open Sans" w:eastAsia="Tahoma" w:hAnsi="Open Sans" w:cs="Open Sans"/>
          <w:lang w:eastAsia="en-GB" w:bidi="en-GB"/>
        </w:rPr>
        <w:t>achievement</w:t>
      </w:r>
    </w:p>
    <w:p w14:paraId="690F4337" w14:textId="77777777" w:rsidR="00D47028" w:rsidRPr="003D166D" w:rsidRDefault="00D47028" w:rsidP="00D47028">
      <w:pPr>
        <w:widowControl w:val="0"/>
        <w:numPr>
          <w:ilvl w:val="0"/>
          <w:numId w:val="1"/>
        </w:numPr>
        <w:tabs>
          <w:tab w:val="left" w:pos="820"/>
          <w:tab w:val="left" w:pos="821"/>
        </w:tabs>
        <w:autoSpaceDE w:val="0"/>
        <w:autoSpaceDN w:val="0"/>
        <w:spacing w:after="0" w:line="254" w:lineRule="exact"/>
        <w:ind w:hanging="361"/>
        <w:rPr>
          <w:rFonts w:ascii="Open Sans" w:eastAsia="Tahoma" w:hAnsi="Open Sans" w:cs="Open Sans"/>
          <w:lang w:eastAsia="en-GB" w:bidi="en-GB"/>
        </w:rPr>
      </w:pPr>
      <w:r w:rsidRPr="003D166D">
        <w:rPr>
          <w:rFonts w:ascii="Open Sans" w:eastAsia="Tahoma" w:hAnsi="Open Sans" w:cs="Open Sans"/>
          <w:lang w:eastAsia="en-GB" w:bidi="en-GB"/>
        </w:rPr>
        <w:t>Partnership meetings and best practise</w:t>
      </w:r>
      <w:r w:rsidRPr="003D166D">
        <w:rPr>
          <w:rFonts w:ascii="Open Sans" w:eastAsia="Tahoma" w:hAnsi="Open Sans" w:cs="Open Sans"/>
          <w:spacing w:val="-18"/>
          <w:lang w:eastAsia="en-GB" w:bidi="en-GB"/>
        </w:rPr>
        <w:t xml:space="preserve"> </w:t>
      </w:r>
      <w:r w:rsidRPr="003D166D">
        <w:rPr>
          <w:rFonts w:ascii="Open Sans" w:eastAsia="Tahoma" w:hAnsi="Open Sans" w:cs="Open Sans"/>
          <w:lang w:eastAsia="en-GB" w:bidi="en-GB"/>
        </w:rPr>
        <w:t>workshops</w:t>
      </w:r>
    </w:p>
    <w:p w14:paraId="099292F0" w14:textId="77777777" w:rsidR="00D47028" w:rsidRPr="003D166D" w:rsidRDefault="00D47028" w:rsidP="00D47028">
      <w:pPr>
        <w:widowControl w:val="0"/>
        <w:numPr>
          <w:ilvl w:val="0"/>
          <w:numId w:val="1"/>
        </w:numPr>
        <w:tabs>
          <w:tab w:val="left" w:pos="820"/>
          <w:tab w:val="left" w:pos="821"/>
        </w:tabs>
        <w:autoSpaceDE w:val="0"/>
        <w:autoSpaceDN w:val="0"/>
        <w:spacing w:after="0" w:line="254" w:lineRule="exact"/>
        <w:ind w:hanging="361"/>
        <w:rPr>
          <w:rFonts w:ascii="Open Sans" w:eastAsia="Tahoma" w:hAnsi="Open Sans" w:cs="Open Sans"/>
          <w:lang w:eastAsia="en-GB" w:bidi="en-GB"/>
        </w:rPr>
      </w:pPr>
      <w:r w:rsidRPr="003D166D">
        <w:rPr>
          <w:rFonts w:ascii="Open Sans" w:eastAsia="Tahoma" w:hAnsi="Open Sans" w:cs="Open Sans"/>
          <w:lang w:eastAsia="en-GB" w:bidi="en-GB"/>
        </w:rPr>
        <w:t>Instant updates on</w:t>
      </w:r>
      <w:r w:rsidRPr="003D166D">
        <w:rPr>
          <w:rFonts w:ascii="Open Sans" w:eastAsia="Tahoma" w:hAnsi="Open Sans" w:cs="Open Sans"/>
          <w:spacing w:val="-3"/>
          <w:lang w:eastAsia="en-GB" w:bidi="en-GB"/>
        </w:rPr>
        <w:t xml:space="preserve"> </w:t>
      </w:r>
      <w:r w:rsidRPr="003D166D">
        <w:rPr>
          <w:rFonts w:ascii="Open Sans" w:eastAsia="Tahoma" w:hAnsi="Open Sans" w:cs="Open Sans"/>
          <w:lang w:eastAsia="en-GB" w:bidi="en-GB"/>
        </w:rPr>
        <w:t>Funding</w:t>
      </w:r>
    </w:p>
    <w:p w14:paraId="571BC1A0" w14:textId="77777777" w:rsidR="00D47028" w:rsidRPr="003D166D" w:rsidRDefault="00D47028" w:rsidP="00D47028">
      <w:pPr>
        <w:widowControl w:val="0"/>
        <w:numPr>
          <w:ilvl w:val="0"/>
          <w:numId w:val="1"/>
        </w:numPr>
        <w:tabs>
          <w:tab w:val="left" w:pos="820"/>
          <w:tab w:val="left" w:pos="821"/>
        </w:tabs>
        <w:autoSpaceDE w:val="0"/>
        <w:autoSpaceDN w:val="0"/>
        <w:spacing w:after="0" w:line="240" w:lineRule="auto"/>
        <w:ind w:right="819"/>
        <w:rPr>
          <w:rFonts w:ascii="Open Sans" w:eastAsia="Tahoma" w:hAnsi="Open Sans" w:cs="Open Sans"/>
          <w:lang w:eastAsia="en-GB" w:bidi="en-GB"/>
        </w:rPr>
      </w:pPr>
      <w:r w:rsidRPr="003D166D">
        <w:rPr>
          <w:rFonts w:ascii="Open Sans" w:eastAsia="Tahoma" w:hAnsi="Open Sans" w:cs="Open Sans"/>
          <w:lang w:eastAsia="en-GB" w:bidi="en-GB"/>
        </w:rPr>
        <w:t>Formal observation of teaching and learning with written and verbal feedback</w:t>
      </w:r>
      <w:r w:rsidRPr="003D166D">
        <w:rPr>
          <w:rFonts w:ascii="Open Sans" w:eastAsia="Tahoma" w:hAnsi="Open Sans" w:cs="Open Sans"/>
          <w:spacing w:val="-39"/>
          <w:lang w:eastAsia="en-GB" w:bidi="en-GB"/>
        </w:rPr>
        <w:t xml:space="preserve"> </w:t>
      </w:r>
      <w:r w:rsidRPr="003D166D">
        <w:rPr>
          <w:rFonts w:ascii="Open Sans" w:eastAsia="Tahoma" w:hAnsi="Open Sans" w:cs="Open Sans"/>
          <w:lang w:eastAsia="en-GB" w:bidi="en-GB"/>
        </w:rPr>
        <w:t>and support</w:t>
      </w:r>
    </w:p>
    <w:p w14:paraId="5EDFF90E" w14:textId="77777777" w:rsidR="00D47028" w:rsidRPr="003D166D" w:rsidRDefault="00D47028" w:rsidP="00D47028">
      <w:pPr>
        <w:widowControl w:val="0"/>
        <w:numPr>
          <w:ilvl w:val="0"/>
          <w:numId w:val="1"/>
        </w:numPr>
        <w:tabs>
          <w:tab w:val="left" w:pos="820"/>
          <w:tab w:val="left" w:pos="821"/>
        </w:tabs>
        <w:autoSpaceDE w:val="0"/>
        <w:autoSpaceDN w:val="0"/>
        <w:spacing w:after="0" w:line="254" w:lineRule="exact"/>
        <w:ind w:hanging="361"/>
        <w:rPr>
          <w:rFonts w:ascii="Open Sans" w:eastAsia="Tahoma" w:hAnsi="Open Sans" w:cs="Open Sans"/>
          <w:lang w:eastAsia="en-GB" w:bidi="en-GB"/>
        </w:rPr>
      </w:pPr>
      <w:r w:rsidRPr="003D166D">
        <w:rPr>
          <w:rFonts w:ascii="Open Sans" w:eastAsia="Tahoma" w:hAnsi="Open Sans" w:cs="Open Sans"/>
          <w:lang w:eastAsia="en-GB" w:bidi="en-GB"/>
        </w:rPr>
        <w:t>Employer and learner feedback</w:t>
      </w:r>
      <w:r w:rsidRPr="003D166D">
        <w:rPr>
          <w:rFonts w:ascii="Open Sans" w:eastAsia="Tahoma" w:hAnsi="Open Sans" w:cs="Open Sans"/>
          <w:spacing w:val="-1"/>
          <w:lang w:eastAsia="en-GB" w:bidi="en-GB"/>
        </w:rPr>
        <w:t xml:space="preserve"> </w:t>
      </w:r>
      <w:r w:rsidRPr="003D166D">
        <w:rPr>
          <w:rFonts w:ascii="Open Sans" w:eastAsia="Tahoma" w:hAnsi="Open Sans" w:cs="Open Sans"/>
          <w:lang w:eastAsia="en-GB" w:bidi="en-GB"/>
        </w:rPr>
        <w:t>surveys</w:t>
      </w:r>
    </w:p>
    <w:p w14:paraId="5162776F" w14:textId="77777777" w:rsidR="00D47028" w:rsidRPr="003D166D" w:rsidRDefault="00D47028" w:rsidP="00D47028">
      <w:pPr>
        <w:widowControl w:val="0"/>
        <w:numPr>
          <w:ilvl w:val="0"/>
          <w:numId w:val="1"/>
        </w:numPr>
        <w:tabs>
          <w:tab w:val="left" w:pos="820"/>
          <w:tab w:val="left" w:pos="821"/>
        </w:tabs>
        <w:autoSpaceDE w:val="0"/>
        <w:autoSpaceDN w:val="0"/>
        <w:spacing w:after="0" w:line="253" w:lineRule="exact"/>
        <w:ind w:hanging="361"/>
        <w:rPr>
          <w:rFonts w:ascii="Open Sans" w:eastAsia="Tahoma" w:hAnsi="Open Sans" w:cs="Open Sans"/>
          <w:lang w:eastAsia="en-GB" w:bidi="en-GB"/>
        </w:rPr>
      </w:pPr>
      <w:r w:rsidRPr="003D166D">
        <w:rPr>
          <w:rFonts w:ascii="Open Sans" w:eastAsia="Tahoma" w:hAnsi="Open Sans" w:cs="Open Sans"/>
          <w:lang w:eastAsia="en-GB" w:bidi="en-GB"/>
        </w:rPr>
        <w:t>Information and Guidance Learning from a Matrix accredited</w:t>
      </w:r>
      <w:r w:rsidRPr="003D166D">
        <w:rPr>
          <w:rFonts w:ascii="Open Sans" w:eastAsia="Tahoma" w:hAnsi="Open Sans" w:cs="Open Sans"/>
          <w:spacing w:val="-12"/>
          <w:lang w:eastAsia="en-GB" w:bidi="en-GB"/>
        </w:rPr>
        <w:t xml:space="preserve"> </w:t>
      </w:r>
      <w:r w:rsidRPr="003D166D">
        <w:rPr>
          <w:rFonts w:ascii="Open Sans" w:eastAsia="Tahoma" w:hAnsi="Open Sans" w:cs="Open Sans"/>
          <w:lang w:eastAsia="en-GB" w:bidi="en-GB"/>
        </w:rPr>
        <w:t>team</w:t>
      </w:r>
    </w:p>
    <w:p w14:paraId="498CC600" w14:textId="77777777" w:rsidR="00D47028" w:rsidRPr="003D166D" w:rsidRDefault="00D47028" w:rsidP="00D47028">
      <w:pPr>
        <w:widowControl w:val="0"/>
        <w:numPr>
          <w:ilvl w:val="0"/>
          <w:numId w:val="1"/>
        </w:numPr>
        <w:tabs>
          <w:tab w:val="left" w:pos="820"/>
          <w:tab w:val="left" w:pos="821"/>
        </w:tabs>
        <w:autoSpaceDE w:val="0"/>
        <w:autoSpaceDN w:val="0"/>
        <w:spacing w:after="0" w:line="253" w:lineRule="exact"/>
        <w:ind w:hanging="361"/>
        <w:rPr>
          <w:rFonts w:ascii="Open Sans" w:eastAsia="Tahoma" w:hAnsi="Open Sans" w:cs="Open Sans"/>
          <w:lang w:eastAsia="en-GB" w:bidi="en-GB"/>
        </w:rPr>
      </w:pPr>
      <w:r w:rsidRPr="003D166D">
        <w:rPr>
          <w:rFonts w:ascii="Open Sans" w:eastAsia="Tahoma" w:hAnsi="Open Sans" w:cs="Open Sans"/>
          <w:lang w:eastAsia="en-GB" w:bidi="en-GB"/>
        </w:rPr>
        <w:t>Assistance with Self-assessment</w:t>
      </w:r>
      <w:r w:rsidRPr="003D166D">
        <w:rPr>
          <w:rFonts w:ascii="Open Sans" w:eastAsia="Tahoma" w:hAnsi="Open Sans" w:cs="Open Sans"/>
          <w:spacing w:val="-5"/>
          <w:lang w:eastAsia="en-GB" w:bidi="en-GB"/>
        </w:rPr>
        <w:t xml:space="preserve"> </w:t>
      </w:r>
      <w:r w:rsidRPr="003D166D">
        <w:rPr>
          <w:rFonts w:ascii="Open Sans" w:eastAsia="Tahoma" w:hAnsi="Open Sans" w:cs="Open Sans"/>
          <w:lang w:eastAsia="en-GB" w:bidi="en-GB"/>
        </w:rPr>
        <w:t>reports</w:t>
      </w:r>
    </w:p>
    <w:p w14:paraId="3894BE53" w14:textId="77777777" w:rsidR="00D47028" w:rsidRPr="003D166D" w:rsidRDefault="00D47028" w:rsidP="00D47028">
      <w:pPr>
        <w:widowControl w:val="0"/>
        <w:numPr>
          <w:ilvl w:val="0"/>
          <w:numId w:val="1"/>
        </w:numPr>
        <w:tabs>
          <w:tab w:val="left" w:pos="820"/>
          <w:tab w:val="left" w:pos="821"/>
        </w:tabs>
        <w:autoSpaceDE w:val="0"/>
        <w:autoSpaceDN w:val="0"/>
        <w:spacing w:after="0" w:line="256" w:lineRule="exact"/>
        <w:ind w:hanging="361"/>
        <w:rPr>
          <w:rFonts w:ascii="Open Sans" w:eastAsia="Tahoma" w:hAnsi="Open Sans" w:cs="Open Sans"/>
          <w:lang w:eastAsia="en-GB" w:bidi="en-GB"/>
        </w:rPr>
      </w:pPr>
      <w:r w:rsidRPr="003D166D">
        <w:rPr>
          <w:rFonts w:ascii="Open Sans" w:eastAsia="Tahoma" w:hAnsi="Open Sans" w:cs="Open Sans"/>
          <w:lang w:eastAsia="en-GB" w:bidi="en-GB"/>
        </w:rPr>
        <w:t>Health and Safety Consultancy support where</w:t>
      </w:r>
      <w:r w:rsidRPr="003D166D">
        <w:rPr>
          <w:rFonts w:ascii="Open Sans" w:eastAsia="Tahoma" w:hAnsi="Open Sans" w:cs="Open Sans"/>
          <w:spacing w:val="-14"/>
          <w:lang w:eastAsia="en-GB" w:bidi="en-GB"/>
        </w:rPr>
        <w:t xml:space="preserve"> </w:t>
      </w:r>
      <w:r w:rsidRPr="003D166D">
        <w:rPr>
          <w:rFonts w:ascii="Open Sans" w:eastAsia="Tahoma" w:hAnsi="Open Sans" w:cs="Open Sans"/>
          <w:lang w:eastAsia="en-GB" w:bidi="en-GB"/>
        </w:rPr>
        <w:t>appropriate</w:t>
      </w:r>
    </w:p>
    <w:p w14:paraId="3D564534" w14:textId="77777777" w:rsidR="00D47028" w:rsidRPr="003D166D" w:rsidRDefault="00D47028" w:rsidP="00D47028">
      <w:pPr>
        <w:widowControl w:val="0"/>
        <w:numPr>
          <w:ilvl w:val="0"/>
          <w:numId w:val="1"/>
        </w:numPr>
        <w:tabs>
          <w:tab w:val="left" w:pos="820"/>
          <w:tab w:val="left" w:pos="821"/>
        </w:tabs>
        <w:autoSpaceDE w:val="0"/>
        <w:autoSpaceDN w:val="0"/>
        <w:spacing w:after="0" w:line="257" w:lineRule="exact"/>
        <w:ind w:hanging="361"/>
        <w:rPr>
          <w:rFonts w:ascii="Open Sans" w:eastAsia="Tahoma" w:hAnsi="Open Sans" w:cs="Open Sans"/>
          <w:lang w:eastAsia="en-GB" w:bidi="en-GB"/>
        </w:rPr>
      </w:pPr>
      <w:r w:rsidRPr="003D166D">
        <w:rPr>
          <w:rFonts w:ascii="Open Sans" w:eastAsia="Tahoma" w:hAnsi="Open Sans" w:cs="Open Sans"/>
          <w:lang w:eastAsia="en-GB" w:bidi="en-GB"/>
        </w:rPr>
        <w:t>Equality &amp; Diversity Training support where</w:t>
      </w:r>
      <w:r w:rsidRPr="003D166D">
        <w:rPr>
          <w:rFonts w:ascii="Open Sans" w:eastAsia="Tahoma" w:hAnsi="Open Sans" w:cs="Open Sans"/>
          <w:spacing w:val="-20"/>
          <w:lang w:eastAsia="en-GB" w:bidi="en-GB"/>
        </w:rPr>
        <w:t xml:space="preserve"> </w:t>
      </w:r>
      <w:r w:rsidRPr="003D166D">
        <w:rPr>
          <w:rFonts w:ascii="Open Sans" w:eastAsia="Tahoma" w:hAnsi="Open Sans" w:cs="Open Sans"/>
          <w:lang w:eastAsia="en-GB" w:bidi="en-GB"/>
        </w:rPr>
        <w:t>appropriate</w:t>
      </w:r>
    </w:p>
    <w:p w14:paraId="548E510C" w14:textId="77777777" w:rsidR="00D47028" w:rsidRPr="003D166D" w:rsidRDefault="00D47028" w:rsidP="00D47028">
      <w:pPr>
        <w:widowControl w:val="0"/>
        <w:numPr>
          <w:ilvl w:val="0"/>
          <w:numId w:val="1"/>
        </w:numPr>
        <w:tabs>
          <w:tab w:val="left" w:pos="820"/>
          <w:tab w:val="left" w:pos="821"/>
        </w:tabs>
        <w:autoSpaceDE w:val="0"/>
        <w:autoSpaceDN w:val="0"/>
        <w:spacing w:after="0" w:line="255" w:lineRule="exact"/>
        <w:ind w:hanging="361"/>
        <w:rPr>
          <w:rFonts w:ascii="Open Sans" w:eastAsia="Tahoma" w:hAnsi="Open Sans" w:cs="Open Sans"/>
          <w:lang w:eastAsia="en-GB" w:bidi="en-GB"/>
        </w:rPr>
      </w:pPr>
      <w:r w:rsidRPr="003D166D">
        <w:rPr>
          <w:rFonts w:ascii="Open Sans" w:eastAsia="Tahoma" w:hAnsi="Open Sans" w:cs="Open Sans"/>
          <w:lang w:eastAsia="en-GB" w:bidi="en-GB"/>
        </w:rPr>
        <w:t>Health and Safety Training where</w:t>
      </w:r>
      <w:r w:rsidRPr="003D166D">
        <w:rPr>
          <w:rFonts w:ascii="Open Sans" w:eastAsia="Tahoma" w:hAnsi="Open Sans" w:cs="Open Sans"/>
          <w:spacing w:val="4"/>
          <w:lang w:eastAsia="en-GB" w:bidi="en-GB"/>
        </w:rPr>
        <w:t xml:space="preserve"> </w:t>
      </w:r>
      <w:r w:rsidRPr="003D166D">
        <w:rPr>
          <w:rFonts w:ascii="Open Sans" w:eastAsia="Tahoma" w:hAnsi="Open Sans" w:cs="Open Sans"/>
          <w:lang w:eastAsia="en-GB" w:bidi="en-GB"/>
        </w:rPr>
        <w:t>appropriate</w:t>
      </w:r>
    </w:p>
    <w:p w14:paraId="72C81E5C" w14:textId="77777777" w:rsidR="00D47028" w:rsidRPr="003D166D" w:rsidRDefault="00D47028" w:rsidP="00D47028">
      <w:pPr>
        <w:widowControl w:val="0"/>
        <w:numPr>
          <w:ilvl w:val="0"/>
          <w:numId w:val="1"/>
        </w:numPr>
        <w:tabs>
          <w:tab w:val="left" w:pos="820"/>
          <w:tab w:val="left" w:pos="821"/>
        </w:tabs>
        <w:autoSpaceDE w:val="0"/>
        <w:autoSpaceDN w:val="0"/>
        <w:spacing w:after="0" w:line="256" w:lineRule="exact"/>
        <w:ind w:hanging="361"/>
        <w:rPr>
          <w:rFonts w:ascii="Open Sans" w:eastAsia="Tahoma" w:hAnsi="Open Sans" w:cs="Open Sans"/>
          <w:lang w:eastAsia="en-GB" w:bidi="en-GB"/>
        </w:rPr>
      </w:pPr>
      <w:r w:rsidRPr="003D166D">
        <w:rPr>
          <w:rFonts w:ascii="Open Sans" w:eastAsia="Tahoma" w:hAnsi="Open Sans" w:cs="Open Sans"/>
          <w:lang w:eastAsia="en-GB" w:bidi="en-GB"/>
        </w:rPr>
        <w:t>Safeguarding and Prevent Training where</w:t>
      </w:r>
      <w:r w:rsidRPr="003D166D">
        <w:rPr>
          <w:rFonts w:ascii="Open Sans" w:eastAsia="Tahoma" w:hAnsi="Open Sans" w:cs="Open Sans"/>
          <w:spacing w:val="-16"/>
          <w:lang w:eastAsia="en-GB" w:bidi="en-GB"/>
        </w:rPr>
        <w:t xml:space="preserve"> </w:t>
      </w:r>
      <w:r w:rsidRPr="003D166D">
        <w:rPr>
          <w:rFonts w:ascii="Open Sans" w:eastAsia="Tahoma" w:hAnsi="Open Sans" w:cs="Open Sans"/>
          <w:lang w:eastAsia="en-GB" w:bidi="en-GB"/>
        </w:rPr>
        <w:t>appropriate</w:t>
      </w:r>
    </w:p>
    <w:p w14:paraId="0241A9EF" w14:textId="77777777" w:rsidR="00D47028" w:rsidRPr="003D166D" w:rsidRDefault="00D47028" w:rsidP="00D47028">
      <w:pPr>
        <w:widowControl w:val="0"/>
        <w:autoSpaceDE w:val="0"/>
        <w:autoSpaceDN w:val="0"/>
        <w:spacing w:after="0" w:line="240" w:lineRule="auto"/>
        <w:rPr>
          <w:rFonts w:ascii="Open Sans" w:eastAsia="Tahoma" w:hAnsi="Open Sans" w:cs="Open Sans"/>
          <w:sz w:val="16"/>
          <w:szCs w:val="16"/>
          <w:lang w:eastAsia="en-GB" w:bidi="en-GB"/>
        </w:rPr>
      </w:pPr>
    </w:p>
    <w:p w14:paraId="2C20E8B4" w14:textId="77777777" w:rsidR="00D47028" w:rsidRPr="003D166D" w:rsidRDefault="00D47028" w:rsidP="00D47028">
      <w:pPr>
        <w:widowControl w:val="0"/>
        <w:autoSpaceDE w:val="0"/>
        <w:autoSpaceDN w:val="0"/>
        <w:spacing w:before="182" w:after="0" w:line="240" w:lineRule="auto"/>
        <w:ind w:left="100"/>
        <w:outlineLvl w:val="0"/>
        <w:rPr>
          <w:rFonts w:ascii="Open Sans" w:eastAsia="Tahoma" w:hAnsi="Open Sans" w:cs="Open Sans"/>
          <w:b/>
          <w:bCs/>
          <w:sz w:val="24"/>
          <w:szCs w:val="24"/>
          <w:lang w:eastAsia="en-GB" w:bidi="en-GB"/>
        </w:rPr>
      </w:pPr>
      <w:r w:rsidRPr="003D166D">
        <w:rPr>
          <w:rFonts w:ascii="Open Sans" w:eastAsia="Tahoma" w:hAnsi="Open Sans" w:cs="Open Sans"/>
          <w:b/>
          <w:bCs/>
          <w:sz w:val="24"/>
          <w:szCs w:val="24"/>
          <w:lang w:eastAsia="en-GB" w:bidi="en-GB"/>
        </w:rPr>
        <w:t>Payment Terms</w:t>
      </w:r>
    </w:p>
    <w:p w14:paraId="058C01AF" w14:textId="77777777" w:rsidR="00D47028" w:rsidRPr="003D166D" w:rsidRDefault="00D47028" w:rsidP="00D47028">
      <w:pPr>
        <w:widowControl w:val="0"/>
        <w:autoSpaceDE w:val="0"/>
        <w:autoSpaceDN w:val="0"/>
        <w:spacing w:before="1" w:after="0" w:line="240" w:lineRule="auto"/>
        <w:ind w:left="100"/>
        <w:rPr>
          <w:rFonts w:ascii="Open Sans" w:eastAsia="Tahoma" w:hAnsi="Open Sans" w:cs="Open Sans"/>
          <w:lang w:eastAsia="en-GB" w:bidi="en-GB"/>
        </w:rPr>
      </w:pPr>
      <w:r w:rsidRPr="003D166D">
        <w:rPr>
          <w:rFonts w:ascii="Open Sans" w:eastAsia="Tahoma" w:hAnsi="Open Sans" w:cs="Open Sans"/>
          <w:lang w:eastAsia="en-GB" w:bidi="en-GB"/>
        </w:rPr>
        <w:t>All SCPs will be required to agree to our supplier terms and conditions.</w:t>
      </w:r>
    </w:p>
    <w:p w14:paraId="67295B35" w14:textId="77777777" w:rsidR="00D47028" w:rsidRPr="003D166D" w:rsidRDefault="00D47028" w:rsidP="00D47028">
      <w:pPr>
        <w:widowControl w:val="0"/>
        <w:autoSpaceDE w:val="0"/>
        <w:autoSpaceDN w:val="0"/>
        <w:spacing w:before="9" w:after="0" w:line="240" w:lineRule="auto"/>
        <w:rPr>
          <w:rFonts w:ascii="Open Sans" w:eastAsia="Tahoma" w:hAnsi="Open Sans" w:cs="Open Sans"/>
          <w:sz w:val="16"/>
          <w:szCs w:val="16"/>
          <w:lang w:eastAsia="en-GB" w:bidi="en-GB"/>
        </w:rPr>
      </w:pPr>
    </w:p>
    <w:p w14:paraId="389CE8C8" w14:textId="77777777" w:rsidR="00D47028" w:rsidRPr="003D166D" w:rsidRDefault="00D47028" w:rsidP="00D47028">
      <w:pPr>
        <w:widowControl w:val="0"/>
        <w:autoSpaceDE w:val="0"/>
        <w:autoSpaceDN w:val="0"/>
        <w:spacing w:after="0" w:line="240" w:lineRule="auto"/>
        <w:ind w:left="100" w:right="419"/>
        <w:rPr>
          <w:rFonts w:ascii="Open Sans" w:eastAsia="Tahoma" w:hAnsi="Open Sans" w:cs="Open Sans"/>
          <w:lang w:eastAsia="en-GB" w:bidi="en-GB"/>
        </w:rPr>
      </w:pPr>
      <w:r w:rsidRPr="003D166D">
        <w:rPr>
          <w:rFonts w:ascii="Open Sans" w:eastAsia="Tahoma" w:hAnsi="Open Sans" w:cs="Open Sans"/>
          <w:lang w:eastAsia="en-GB" w:bidi="en-GB"/>
        </w:rPr>
        <w:t xml:space="preserve">Twin operates a self-billing process, which involves Twin raising the </w:t>
      </w:r>
      <w:proofErr w:type="gramStart"/>
      <w:r w:rsidRPr="003D166D">
        <w:rPr>
          <w:rFonts w:ascii="Open Sans" w:eastAsia="Tahoma" w:hAnsi="Open Sans" w:cs="Open Sans"/>
          <w:lang w:eastAsia="en-GB" w:bidi="en-GB"/>
        </w:rPr>
        <w:t>subcontractors</w:t>
      </w:r>
      <w:proofErr w:type="gramEnd"/>
      <w:r w:rsidRPr="003D166D">
        <w:rPr>
          <w:rFonts w:ascii="Open Sans" w:eastAsia="Tahoma" w:hAnsi="Open Sans" w:cs="Open Sans"/>
          <w:lang w:eastAsia="en-GB" w:bidi="en-GB"/>
        </w:rPr>
        <w:t xml:space="preserve"> invoice on their behalf. Twin will not accept any invoice from the subcontractor.</w:t>
      </w:r>
    </w:p>
    <w:p w14:paraId="769B030A" w14:textId="77777777" w:rsidR="00D47028" w:rsidRPr="003D166D" w:rsidRDefault="00D47028" w:rsidP="00D47028">
      <w:pPr>
        <w:widowControl w:val="0"/>
        <w:autoSpaceDE w:val="0"/>
        <w:autoSpaceDN w:val="0"/>
        <w:spacing w:before="1" w:after="0" w:line="240" w:lineRule="auto"/>
        <w:rPr>
          <w:rFonts w:ascii="Open Sans" w:eastAsia="Tahoma" w:hAnsi="Open Sans" w:cs="Open Sans"/>
          <w:lang w:eastAsia="en-GB" w:bidi="en-GB"/>
        </w:rPr>
      </w:pPr>
    </w:p>
    <w:p w14:paraId="33D0944A" w14:textId="77777777" w:rsidR="00D47028" w:rsidRPr="003D166D" w:rsidRDefault="00D47028" w:rsidP="00D47028">
      <w:pPr>
        <w:widowControl w:val="0"/>
        <w:autoSpaceDE w:val="0"/>
        <w:autoSpaceDN w:val="0"/>
        <w:spacing w:after="0" w:line="240" w:lineRule="auto"/>
        <w:ind w:left="100" w:right="163"/>
        <w:rPr>
          <w:rFonts w:ascii="Open Sans" w:eastAsia="Tahoma" w:hAnsi="Open Sans" w:cs="Open Sans"/>
          <w:lang w:eastAsia="en-GB" w:bidi="en-GB"/>
        </w:rPr>
      </w:pPr>
      <w:r w:rsidRPr="003D166D">
        <w:rPr>
          <w:rFonts w:ascii="Open Sans" w:eastAsia="Tahoma" w:hAnsi="Open Sans" w:cs="Open Sans"/>
          <w:lang w:eastAsia="en-GB" w:bidi="en-GB"/>
        </w:rPr>
        <w:t>Twin will provide the subcontractor with a self-bill analysis no later than 10 working days after the end of the prior month. Once Twin receives payment from their funder, a self-bill invoice will be issued and payment made.</w:t>
      </w:r>
    </w:p>
    <w:p w14:paraId="63D5A5E2" w14:textId="77777777" w:rsidR="00D47028" w:rsidRPr="003D166D" w:rsidRDefault="00D47028" w:rsidP="00D47028">
      <w:pPr>
        <w:widowControl w:val="0"/>
        <w:autoSpaceDE w:val="0"/>
        <w:autoSpaceDN w:val="0"/>
        <w:spacing w:before="11" w:after="0" w:line="240" w:lineRule="auto"/>
        <w:rPr>
          <w:rFonts w:ascii="Open Sans" w:eastAsia="Tahoma" w:hAnsi="Open Sans" w:cs="Open Sans"/>
          <w:sz w:val="16"/>
          <w:szCs w:val="16"/>
          <w:lang w:eastAsia="en-GB" w:bidi="en-GB"/>
        </w:rPr>
      </w:pPr>
    </w:p>
    <w:p w14:paraId="1649C87D" w14:textId="77777777" w:rsidR="00D47028" w:rsidRPr="003D166D" w:rsidRDefault="00D47028" w:rsidP="00D47028">
      <w:pPr>
        <w:widowControl w:val="0"/>
        <w:autoSpaceDE w:val="0"/>
        <w:autoSpaceDN w:val="0"/>
        <w:spacing w:after="0" w:line="240" w:lineRule="auto"/>
        <w:ind w:left="100" w:right="400"/>
        <w:rPr>
          <w:rFonts w:ascii="Open Sans" w:eastAsia="Tahoma" w:hAnsi="Open Sans" w:cs="Open Sans"/>
          <w:lang w:eastAsia="en-GB" w:bidi="en-GB"/>
        </w:rPr>
      </w:pPr>
      <w:r w:rsidRPr="003D166D">
        <w:rPr>
          <w:rFonts w:ascii="Open Sans" w:eastAsia="Tahoma" w:hAnsi="Open Sans" w:cs="Open Sans"/>
          <w:lang w:eastAsia="en-GB" w:bidi="en-GB"/>
        </w:rPr>
        <w:t xml:space="preserve">Twin estimate any payments will be made by approximately the 30th of each </w:t>
      </w:r>
      <w:r w:rsidRPr="003D166D">
        <w:rPr>
          <w:rFonts w:ascii="Open Sans" w:eastAsia="Tahoma" w:hAnsi="Open Sans" w:cs="Open Sans"/>
          <w:lang w:eastAsia="en-GB" w:bidi="en-GB"/>
        </w:rPr>
        <w:lastRenderedPageBreak/>
        <w:t xml:space="preserve">month for the previous month’s activity. </w:t>
      </w:r>
      <w:proofErr w:type="gramStart"/>
      <w:r w:rsidRPr="003D166D">
        <w:rPr>
          <w:rFonts w:ascii="Open Sans" w:eastAsia="Tahoma" w:hAnsi="Open Sans" w:cs="Open Sans"/>
          <w:lang w:eastAsia="en-GB" w:bidi="en-GB"/>
        </w:rPr>
        <w:t>However</w:t>
      </w:r>
      <w:proofErr w:type="gramEnd"/>
      <w:r w:rsidRPr="003D166D">
        <w:rPr>
          <w:rFonts w:ascii="Open Sans" w:eastAsia="Tahoma" w:hAnsi="Open Sans" w:cs="Open Sans"/>
          <w:lang w:eastAsia="en-GB" w:bidi="en-GB"/>
        </w:rPr>
        <w:t xml:space="preserve"> Twin reserves the right to pay within 30 days of invoice as per our standard terms and conditions.</w:t>
      </w:r>
    </w:p>
    <w:p w14:paraId="279D20C7" w14:textId="77777777" w:rsidR="00D47028" w:rsidRPr="003D166D" w:rsidRDefault="00D47028" w:rsidP="00D47028">
      <w:pPr>
        <w:widowControl w:val="0"/>
        <w:autoSpaceDE w:val="0"/>
        <w:autoSpaceDN w:val="0"/>
        <w:spacing w:before="11" w:after="0" w:line="240" w:lineRule="auto"/>
        <w:rPr>
          <w:rFonts w:ascii="Open Sans" w:eastAsia="Tahoma" w:hAnsi="Open Sans" w:cs="Open Sans"/>
          <w:sz w:val="16"/>
          <w:szCs w:val="16"/>
          <w:lang w:eastAsia="en-GB" w:bidi="en-GB"/>
        </w:rPr>
      </w:pPr>
    </w:p>
    <w:p w14:paraId="51FF4311" w14:textId="77777777" w:rsidR="00D47028" w:rsidRPr="003D166D" w:rsidRDefault="00D47028" w:rsidP="00D47028">
      <w:pPr>
        <w:widowControl w:val="0"/>
        <w:autoSpaceDE w:val="0"/>
        <w:autoSpaceDN w:val="0"/>
        <w:spacing w:after="0" w:line="240" w:lineRule="auto"/>
        <w:ind w:left="100" w:right="335"/>
        <w:rPr>
          <w:rFonts w:ascii="Open Sans" w:eastAsia="Tahoma" w:hAnsi="Open Sans" w:cs="Open Sans"/>
          <w:lang w:eastAsia="en-GB" w:bidi="en-GB"/>
        </w:rPr>
      </w:pPr>
      <w:r w:rsidRPr="003D166D">
        <w:rPr>
          <w:rFonts w:ascii="Open Sans" w:eastAsia="Tahoma" w:hAnsi="Open Sans" w:cs="Open Sans"/>
          <w:lang w:eastAsia="en-GB" w:bidi="en-GB"/>
        </w:rPr>
        <w:t xml:space="preserve">Adjustments may be made to specific payments </w:t>
      </w:r>
      <w:proofErr w:type="gramStart"/>
      <w:r w:rsidRPr="003D166D">
        <w:rPr>
          <w:rFonts w:ascii="Open Sans" w:eastAsia="Tahoma" w:hAnsi="Open Sans" w:cs="Open Sans"/>
          <w:lang w:eastAsia="en-GB" w:bidi="en-GB"/>
        </w:rPr>
        <w:t>where</w:t>
      </w:r>
      <w:proofErr w:type="gramEnd"/>
      <w:r w:rsidRPr="003D166D">
        <w:rPr>
          <w:rFonts w:ascii="Open Sans" w:eastAsia="Tahoma" w:hAnsi="Open Sans" w:cs="Open Sans"/>
          <w:lang w:eastAsia="en-GB" w:bidi="en-GB"/>
        </w:rPr>
        <w:t xml:space="preserve"> evidence of eligibility, participation or achievement cannot be validated by Twin. Any amendments will be based on current guidance provided by the funding body rules.</w:t>
      </w:r>
    </w:p>
    <w:p w14:paraId="48BCB5AC" w14:textId="77777777" w:rsidR="00D47028" w:rsidRPr="003D166D" w:rsidRDefault="00D47028" w:rsidP="00D47028">
      <w:pPr>
        <w:widowControl w:val="0"/>
        <w:autoSpaceDE w:val="0"/>
        <w:autoSpaceDN w:val="0"/>
        <w:spacing w:after="0" w:line="240" w:lineRule="auto"/>
        <w:rPr>
          <w:rFonts w:ascii="Open Sans" w:eastAsia="Tahoma" w:hAnsi="Open Sans" w:cs="Open Sans"/>
          <w:sz w:val="16"/>
          <w:szCs w:val="16"/>
          <w:lang w:eastAsia="en-GB" w:bidi="en-GB"/>
        </w:rPr>
      </w:pPr>
    </w:p>
    <w:p w14:paraId="66EA1311" w14:textId="77777777" w:rsidR="00D47028" w:rsidRPr="003D166D" w:rsidRDefault="00D47028" w:rsidP="00D47028">
      <w:pPr>
        <w:widowControl w:val="0"/>
        <w:autoSpaceDE w:val="0"/>
        <w:autoSpaceDN w:val="0"/>
        <w:spacing w:before="213" w:after="0" w:line="240" w:lineRule="auto"/>
        <w:ind w:left="100"/>
        <w:outlineLvl w:val="0"/>
        <w:rPr>
          <w:rFonts w:ascii="Open Sans" w:eastAsia="Tahoma" w:hAnsi="Open Sans" w:cs="Open Sans"/>
          <w:b/>
          <w:bCs/>
          <w:sz w:val="24"/>
          <w:szCs w:val="24"/>
          <w:lang w:eastAsia="en-GB" w:bidi="en-GB"/>
        </w:rPr>
      </w:pPr>
      <w:r w:rsidRPr="003D166D">
        <w:rPr>
          <w:rFonts w:ascii="Open Sans" w:eastAsia="Tahoma" w:hAnsi="Open Sans" w:cs="Open Sans"/>
          <w:b/>
          <w:bCs/>
          <w:sz w:val="24"/>
          <w:szCs w:val="24"/>
          <w:lang w:eastAsia="en-GB" w:bidi="en-GB"/>
        </w:rPr>
        <w:t>Policy Review and Publications</w:t>
      </w:r>
    </w:p>
    <w:p w14:paraId="3CEA5B07" w14:textId="3E7AACB2" w:rsidR="00D47028" w:rsidRPr="003D166D" w:rsidRDefault="00D47028" w:rsidP="00D47028">
      <w:pPr>
        <w:widowControl w:val="0"/>
        <w:autoSpaceDE w:val="0"/>
        <w:autoSpaceDN w:val="0"/>
        <w:spacing w:before="8" w:after="0" w:line="240" w:lineRule="auto"/>
        <w:ind w:left="100" w:right="144"/>
        <w:rPr>
          <w:rFonts w:ascii="Open Sans" w:eastAsia="Tahoma" w:hAnsi="Open Sans" w:cs="Open Sans"/>
          <w:lang w:eastAsia="en-GB" w:bidi="en-GB"/>
        </w:rPr>
      </w:pPr>
      <w:r w:rsidRPr="003D166D">
        <w:rPr>
          <w:rFonts w:ascii="Open Sans" w:eastAsia="Tahoma" w:hAnsi="Open Sans" w:cs="Open Sans"/>
          <w:lang w:eastAsia="en-GB" w:bidi="en-GB"/>
        </w:rPr>
        <w:t xml:space="preserve">This policy will be reviewed annually in </w:t>
      </w:r>
      <w:r w:rsidR="00E46510" w:rsidRPr="003D166D">
        <w:rPr>
          <w:rFonts w:ascii="Open Sans" w:eastAsia="Tahoma" w:hAnsi="Open Sans" w:cs="Open Sans"/>
          <w:lang w:eastAsia="en-GB" w:bidi="en-GB"/>
        </w:rPr>
        <w:t>September each</w:t>
      </w:r>
      <w:r w:rsidRPr="003D166D">
        <w:rPr>
          <w:rFonts w:ascii="Open Sans" w:eastAsia="Tahoma" w:hAnsi="Open Sans" w:cs="Open Sans"/>
          <w:lang w:eastAsia="en-GB" w:bidi="en-GB"/>
        </w:rPr>
        <w:t xml:space="preserve"> year and will be supplied to any new SCPs as part of our Due Diligence process; any changes or updates will be communicated and issued to all existing SCPs as part of their contract review. The policy will be published on the Twin website.</w:t>
      </w:r>
    </w:p>
    <w:p w14:paraId="37FF43E9" w14:textId="77777777" w:rsidR="00E46510" w:rsidRDefault="00E46510" w:rsidP="00D47028">
      <w:pPr>
        <w:widowControl w:val="0"/>
        <w:autoSpaceDE w:val="0"/>
        <w:autoSpaceDN w:val="0"/>
        <w:spacing w:before="8" w:after="0" w:line="240" w:lineRule="auto"/>
        <w:ind w:left="100" w:right="144"/>
        <w:rPr>
          <w:rFonts w:ascii="Open Sans" w:eastAsia="Tahoma" w:hAnsi="Open Sans" w:cs="Open Sans"/>
          <w:sz w:val="21"/>
          <w:szCs w:val="21"/>
          <w:lang w:eastAsia="en-GB" w:bidi="en-GB"/>
        </w:rPr>
      </w:pPr>
    </w:p>
    <w:p w14:paraId="7846BA51" w14:textId="77777777" w:rsidR="00A81BD7" w:rsidRDefault="00A81BD7" w:rsidP="00D47028">
      <w:pPr>
        <w:widowControl w:val="0"/>
        <w:autoSpaceDE w:val="0"/>
        <w:autoSpaceDN w:val="0"/>
        <w:spacing w:before="8" w:after="0" w:line="240" w:lineRule="auto"/>
        <w:ind w:left="100" w:right="144"/>
        <w:rPr>
          <w:rFonts w:ascii="Open Sans" w:eastAsia="Tahoma" w:hAnsi="Open Sans" w:cs="Open Sans"/>
          <w:sz w:val="21"/>
          <w:szCs w:val="21"/>
          <w:lang w:eastAsia="en-GB" w:bidi="en-GB"/>
        </w:rPr>
      </w:pPr>
    </w:p>
    <w:p w14:paraId="17CEFBCB" w14:textId="77777777" w:rsidR="00A81BD7" w:rsidRDefault="00A81BD7" w:rsidP="00D47028">
      <w:pPr>
        <w:widowControl w:val="0"/>
        <w:autoSpaceDE w:val="0"/>
        <w:autoSpaceDN w:val="0"/>
        <w:spacing w:before="8" w:after="0" w:line="240" w:lineRule="auto"/>
        <w:ind w:left="100" w:right="144"/>
        <w:rPr>
          <w:rFonts w:ascii="Open Sans" w:eastAsia="Tahoma" w:hAnsi="Open Sans" w:cs="Open Sans"/>
          <w:sz w:val="21"/>
          <w:szCs w:val="21"/>
          <w:lang w:eastAsia="en-GB" w:bidi="en-GB"/>
        </w:rPr>
      </w:pPr>
    </w:p>
    <w:p w14:paraId="3C125292" w14:textId="24C240FC" w:rsidR="00D47028" w:rsidRDefault="00A81BD7"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r>
        <w:rPr>
          <w:rFonts w:ascii="Open Sans" w:eastAsia="Tahoma" w:hAnsi="Open Sans" w:cs="Open Sans"/>
          <w:sz w:val="21"/>
          <w:szCs w:val="21"/>
          <w:lang w:eastAsia="en-GB" w:bidi="en-GB"/>
        </w:rPr>
        <w:t>The policy applies to all Twin Group companies.</w:t>
      </w:r>
    </w:p>
    <w:p w14:paraId="4804EDED" w14:textId="2357DE65" w:rsidR="00806CC9" w:rsidRDefault="00806CC9" w:rsidP="35CC2655">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2AC98DF9" w14:textId="77777777" w:rsidR="00806CC9" w:rsidRDefault="00806CC9"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3EA5B654"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09D41D5B"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5310BDEB"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38679121"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02F530C3"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57A4F43D"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5D316B78"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071F47F7"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035F52EA"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4762EC2A"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72CEBDB7"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3FD1024F"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018995D4"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07D3604D"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61CEA3FB"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759594D1"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38D67B4A"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3BE48E15"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038DDFBB"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6A769B91"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6B1F0C99" w14:textId="77777777" w:rsidR="006B5794" w:rsidRDefault="006B5794" w:rsidP="00A81BD7">
      <w:pPr>
        <w:widowControl w:val="0"/>
        <w:autoSpaceDE w:val="0"/>
        <w:autoSpaceDN w:val="0"/>
        <w:spacing w:before="8" w:after="0" w:line="240" w:lineRule="auto"/>
        <w:ind w:left="100" w:right="144"/>
        <w:jc w:val="center"/>
        <w:rPr>
          <w:rFonts w:ascii="Open Sans" w:eastAsia="Tahoma" w:hAnsi="Open Sans" w:cs="Open Sans"/>
          <w:sz w:val="21"/>
          <w:szCs w:val="21"/>
          <w:lang w:eastAsia="en-GB" w:bidi="en-GB"/>
        </w:rPr>
      </w:pPr>
    </w:p>
    <w:p w14:paraId="67294E34" w14:textId="18D1F7B3" w:rsidR="47E8FC36" w:rsidRDefault="47E8FC36" w:rsidP="00D36E2A">
      <w:pPr>
        <w:widowControl w:val="0"/>
        <w:spacing w:before="8" w:after="0" w:line="240" w:lineRule="auto"/>
        <w:ind w:right="144"/>
        <w:rPr>
          <w:rFonts w:ascii="Open Sans" w:eastAsia="Tahoma" w:hAnsi="Open Sans" w:cs="Open Sans"/>
          <w:sz w:val="21"/>
          <w:szCs w:val="21"/>
          <w:lang w:eastAsia="en-GB" w:bidi="en-GB"/>
        </w:rPr>
      </w:pPr>
    </w:p>
    <w:sectPr w:rsidR="47E8FC3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69798" w14:textId="77777777" w:rsidR="00EB0A92" w:rsidRDefault="00EB0A92" w:rsidP="001222DC">
      <w:pPr>
        <w:spacing w:after="0" w:line="240" w:lineRule="auto"/>
      </w:pPr>
      <w:r>
        <w:separator/>
      </w:r>
    </w:p>
  </w:endnote>
  <w:endnote w:type="continuationSeparator" w:id="0">
    <w:p w14:paraId="44FE48A2" w14:textId="77777777" w:rsidR="00EB0A92" w:rsidRDefault="00EB0A92" w:rsidP="001222DC">
      <w:pPr>
        <w:spacing w:after="0" w:line="240" w:lineRule="auto"/>
      </w:pPr>
      <w:r>
        <w:continuationSeparator/>
      </w:r>
    </w:p>
  </w:endnote>
  <w:endnote w:type="continuationNotice" w:id="1">
    <w:p w14:paraId="169A8C3C" w14:textId="77777777" w:rsidR="00EB0A92" w:rsidRDefault="00EB0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binet Grotesk Variable">
    <w:altName w:val="Calibri"/>
    <w:charset w:val="00"/>
    <w:family w:val="auto"/>
    <w:pitch w:val="variable"/>
    <w:sig w:usb0="80000047" w:usb1="1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013E" w14:textId="77777777" w:rsidR="00BD4D97" w:rsidRDefault="00BD4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EC0DB" w14:textId="32CC1888" w:rsidR="001222DC" w:rsidRPr="001222DC" w:rsidRDefault="4962D7A5">
    <w:pPr>
      <w:pStyle w:val="Footer"/>
      <w:rPr>
        <w:rFonts w:ascii="Cabinet Grotesk Variable" w:hAnsi="Cabinet Grotesk Variable"/>
      </w:rPr>
    </w:pPr>
    <w:r w:rsidRPr="4962D7A5">
      <w:rPr>
        <w:rFonts w:ascii="Cabinet Grotesk Variable" w:hAnsi="Cabinet Grotesk Variable" w:cs="Calibri"/>
      </w:rPr>
      <w:t xml:space="preserve">Supply Chain Fees Policy Version 6.0_July 2024 </w:t>
    </w:r>
  </w:p>
  <w:p w14:paraId="7559755C" w14:textId="77777777" w:rsidR="001222DC" w:rsidRDefault="00122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09B7" w14:textId="77777777" w:rsidR="00BD4D97" w:rsidRDefault="00BD4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01853" w14:textId="77777777" w:rsidR="00EB0A92" w:rsidRDefault="00EB0A92" w:rsidP="001222DC">
      <w:pPr>
        <w:spacing w:after="0" w:line="240" w:lineRule="auto"/>
      </w:pPr>
      <w:r>
        <w:separator/>
      </w:r>
    </w:p>
  </w:footnote>
  <w:footnote w:type="continuationSeparator" w:id="0">
    <w:p w14:paraId="5D00080E" w14:textId="77777777" w:rsidR="00EB0A92" w:rsidRDefault="00EB0A92" w:rsidP="001222DC">
      <w:pPr>
        <w:spacing w:after="0" w:line="240" w:lineRule="auto"/>
      </w:pPr>
      <w:r>
        <w:continuationSeparator/>
      </w:r>
    </w:p>
  </w:footnote>
  <w:footnote w:type="continuationNotice" w:id="1">
    <w:p w14:paraId="2A532974" w14:textId="77777777" w:rsidR="00EB0A92" w:rsidRDefault="00EB0A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CA32" w14:textId="77777777" w:rsidR="00BD4D97" w:rsidRDefault="00BD4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D31D" w14:textId="77777777" w:rsidR="002C6022" w:rsidRDefault="002C6022" w:rsidP="002C6022">
    <w:pPr>
      <w:pStyle w:val="Header"/>
      <w:tabs>
        <w:tab w:val="left" w:pos="7110"/>
      </w:tabs>
      <w:ind w:right="110"/>
      <w:jc w:val="right"/>
      <w:rPr>
        <w:rFonts w:ascii="Calibri" w:hAnsi="Calibri" w:cs="Calibri"/>
      </w:rPr>
    </w:pPr>
    <w:r>
      <w:rPr>
        <w:rFonts w:ascii="Calibri" w:hAnsi="Calibri" w:cs="Calibri"/>
        <w:noProof/>
      </w:rPr>
      <w:drawing>
        <wp:anchor distT="0" distB="0" distL="114300" distR="114300" simplePos="0" relativeHeight="251658240" behindDoc="1" locked="0" layoutInCell="1" allowOverlap="1" wp14:anchorId="008E8F6F" wp14:editId="782154EF">
          <wp:simplePos x="0" y="0"/>
          <wp:positionH relativeFrom="column">
            <wp:posOffset>-904875</wp:posOffset>
          </wp:positionH>
          <wp:positionV relativeFrom="paragraph">
            <wp:posOffset>-440056</wp:posOffset>
          </wp:positionV>
          <wp:extent cx="7557596" cy="180022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icy-do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203" cy="180299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rPr>
      <w:t xml:space="preserve"> </w:t>
    </w:r>
  </w:p>
  <w:p w14:paraId="5D5CB901" w14:textId="77777777" w:rsidR="002C6022" w:rsidRDefault="002C6022" w:rsidP="002C6022">
    <w:pPr>
      <w:pStyle w:val="Header"/>
      <w:tabs>
        <w:tab w:val="left" w:pos="7110"/>
      </w:tabs>
      <w:ind w:right="110"/>
      <w:jc w:val="right"/>
      <w:rPr>
        <w:rFonts w:ascii="Calibri" w:hAnsi="Calibri" w:cs="Calibri"/>
      </w:rPr>
    </w:pPr>
  </w:p>
  <w:p w14:paraId="4932416A" w14:textId="77777777" w:rsidR="002C6022" w:rsidRDefault="002C6022" w:rsidP="002C6022">
    <w:pPr>
      <w:pStyle w:val="Header"/>
      <w:tabs>
        <w:tab w:val="left" w:pos="7110"/>
      </w:tabs>
      <w:ind w:right="110"/>
      <w:jc w:val="right"/>
      <w:rPr>
        <w:rFonts w:ascii="Calibri" w:hAnsi="Calibri" w:cs="Calibri"/>
      </w:rPr>
    </w:pPr>
  </w:p>
  <w:p w14:paraId="1570FD3A" w14:textId="771692D6" w:rsidR="00BD4D97" w:rsidRPr="002C6022" w:rsidRDefault="00BD4D97">
    <w:pPr>
      <w:pStyle w:val="Header"/>
      <w:tabs>
        <w:tab w:val="left" w:pos="7110"/>
      </w:tabs>
      <w:ind w:right="110"/>
      <w:jc w:val="right"/>
      <w:rPr>
        <w:rFonts w:ascii="Cabinet Grotesk Variable" w:hAnsi="Cabinet Grotesk Variable" w:cs="Calibri"/>
      </w:rPr>
    </w:pPr>
    <w:r>
      <w:rPr>
        <w:rFonts w:ascii="Cabinet Grotesk Variable" w:hAnsi="Cabinet Grotesk Variable" w:cs="Calibri"/>
      </w:rPr>
      <w:t>R</w:t>
    </w:r>
    <w:r w:rsidRPr="002C6022">
      <w:rPr>
        <w:rFonts w:ascii="Cabinet Grotesk Variable" w:hAnsi="Cabinet Grotesk Variable" w:cs="Calibri"/>
      </w:rPr>
      <w:t>eviewer:</w:t>
    </w:r>
    <w:r>
      <w:rPr>
        <w:rFonts w:ascii="Cabinet Grotesk Variable" w:hAnsi="Cabinet Grotesk Variable" w:cs="Calibri"/>
      </w:rPr>
      <w:t xml:space="preserve"> </w:t>
    </w:r>
    <w:sdt>
      <w:sdtPr>
        <w:rPr>
          <w:rFonts w:ascii="Cabinet Grotesk Variable" w:hAnsi="Cabinet Grotesk Variable" w:cs="Calibri"/>
        </w:rPr>
        <w:alias w:val="Responsible Person"/>
        <w:tag w:val="ResponsiblePersone"/>
        <w:id w:val="1128743857"/>
        <w:lock w:val="contentLocked"/>
        <w:placeholder>
          <w:docPart w:val="937BDB4E0CD64B8EB5DD556974446BE6"/>
        </w:placeholder>
        <w:dataBinding w:prefixMappings="xmlns:ns0='http://schemas.microsoft.com/office/2006/metadata/properties' xmlns:ns1='http://www.w3.org/2001/XMLSchema-instance' xmlns:ns2='http://schemas.microsoft.com/office/infopath/2007/PartnerControls' xmlns:ns3='ac3cf708-0f9a-4fbd-981d-985a02483855' xmlns:ns4='http://www.w3.org/2000/xmlns/' " w:xpath="/ns0:properties[1]/documentManagement[1]/ns3:ResponsiblePersone[1]/ns3:UserInfo[1]/ns3:DisplayName[1]" w:storeItemID="{C2BD5026-B052-4320-BBEB-3A3753BABED4}"/>
        <w:text/>
      </w:sdtPr>
      <w:sdtEndPr/>
      <w:sdtContent>
        <w:r w:rsidR="001540C8">
          <w:rPr>
            <w:rFonts w:ascii="Cabinet Grotesk Variable" w:hAnsi="Cabinet Grotesk Variable" w:cs="Calibri"/>
          </w:rPr>
          <w:t>Quality</w:t>
        </w:r>
      </w:sdtContent>
    </w:sdt>
  </w:p>
  <w:p w14:paraId="2AAF6872" w14:textId="349BDA7D" w:rsidR="00BD4D97" w:rsidRDefault="00BD4D97">
    <w:pPr>
      <w:pStyle w:val="Header"/>
      <w:tabs>
        <w:tab w:val="left" w:pos="7110"/>
      </w:tabs>
      <w:ind w:right="110"/>
      <w:jc w:val="right"/>
      <w:rPr>
        <w:rFonts w:ascii="Cabinet Grotesk Variable" w:hAnsi="Cabinet Grotesk Variable" w:cs="Calibri"/>
      </w:rPr>
    </w:pPr>
    <w:r w:rsidRPr="002C6022">
      <w:rPr>
        <w:rFonts w:ascii="Cabinet Grotesk Variable" w:hAnsi="Cabinet Grotesk Variable" w:cs="Calibri"/>
      </w:rPr>
      <w:t xml:space="preserve"> Version: </w:t>
    </w:r>
    <w:sdt>
      <w:sdtPr>
        <w:rPr>
          <w:rFonts w:ascii="Cabinet Grotesk Variable" w:hAnsi="Cabinet Grotesk Variable" w:cs="Calibri"/>
        </w:rPr>
        <w:alias w:val="Version Number"/>
        <w:tag w:val="VersionNumber"/>
        <w:id w:val="1010799549"/>
        <w:placeholder>
          <w:docPart w:val="9155EE06B14D49C1912870FCE293EB55"/>
        </w:placeholder>
        <w:dataBinding w:prefixMappings="xmlns:ns0='http://schemas.microsoft.com/office/2006/metadata/properties' xmlns:ns1='http://www.w3.org/2001/XMLSchema-instance' xmlns:ns2='http://schemas.microsoft.com/office/infopath/2007/PartnerControls' xmlns:ns3='ac3cf708-0f9a-4fbd-981d-985a02483855' xmlns:ns4='http://www.w3.org/2000/xmlns/' " w:xpath="/ns0:properties[1]/documentManagement[1]/ns3:VersionNumber[1]" w:storeItemID="{C2BD5026-B052-4320-BBEB-3A3753BABED4}"/>
        <w:text/>
      </w:sdtPr>
      <w:sdtEndPr/>
      <w:sdtContent>
        <w:r w:rsidR="00EF75BB">
          <w:rPr>
            <w:rFonts w:ascii="Cabinet Grotesk Variable" w:hAnsi="Cabinet Grotesk Variable" w:cs="Calibri"/>
          </w:rPr>
          <w:t>6</w:t>
        </w:r>
      </w:sdtContent>
    </w:sdt>
  </w:p>
  <w:p w14:paraId="2646B71B" w14:textId="61A4DF46" w:rsidR="00BD4D97" w:rsidRPr="002C6022" w:rsidRDefault="00BD4D97">
    <w:pPr>
      <w:pStyle w:val="Header"/>
      <w:tabs>
        <w:tab w:val="left" w:pos="7110"/>
      </w:tabs>
      <w:ind w:right="110"/>
      <w:jc w:val="right"/>
      <w:rPr>
        <w:rFonts w:ascii="Cabinet Grotesk Variable" w:hAnsi="Cabinet Grotesk Variable" w:cs="Calibri"/>
      </w:rPr>
    </w:pPr>
    <w:r>
      <w:rPr>
        <w:rFonts w:ascii="Cabinet Grotesk Variable" w:hAnsi="Cabinet Grotesk Variable" w:cs="Calibri"/>
      </w:rPr>
      <w:t>Review date:</w:t>
    </w:r>
    <w:r w:rsidRPr="002C6022">
      <w:rPr>
        <w:rFonts w:ascii="Cabinet Grotesk Variable" w:hAnsi="Cabinet Grotesk Variable" w:cs="Calibri"/>
      </w:rPr>
      <w:t xml:space="preserve"> </w:t>
    </w:r>
    <w:sdt>
      <w:sdtPr>
        <w:rPr>
          <w:rFonts w:ascii="Cabinet Grotesk Variable" w:hAnsi="Cabinet Grotesk Variable" w:cs="Calibri"/>
        </w:rPr>
        <w:alias w:val="Review Date"/>
        <w:tag w:val="ReviewDate"/>
        <w:id w:val="-1521775197"/>
        <w:placeholder>
          <w:docPart w:val="55B770F4B2FE4EC69AF446E95ADA4347"/>
        </w:placeholder>
        <w:dataBinding w:prefixMappings="xmlns:ns0='http://schemas.microsoft.com/office/2006/metadata/properties' xmlns:ns1='http://www.w3.org/2001/XMLSchema-instance' xmlns:ns2='http://schemas.microsoft.com/office/infopath/2007/PartnerControls' xmlns:ns3='ac3cf708-0f9a-4fbd-981d-985a02483855' xmlns:ns4='http://www.w3.org/2000/xmlns/' " w:xpath="/ns0:properties[1]/documentManagement[1]/ns3:ReviewDate[1]" w:storeItemID="{C2BD5026-B052-4320-BBEB-3A3753BABED4}"/>
        <w:date w:fullDate="2024-07-01T00:00:00Z">
          <w:dateFormat w:val="dd/MM/yyyy"/>
          <w:lid w:val="en-GB"/>
          <w:storeMappedDataAs w:val="dateTime"/>
          <w:calendar w:val="gregorian"/>
        </w:date>
      </w:sdtPr>
      <w:sdtEndPr/>
      <w:sdtContent>
        <w:r w:rsidR="001540C8">
          <w:rPr>
            <w:rFonts w:ascii="Cabinet Grotesk Variable" w:hAnsi="Cabinet Grotesk Variable" w:cs="Calibri"/>
          </w:rPr>
          <w:t>01/07/2024</w:t>
        </w:r>
      </w:sdtContent>
    </w:sdt>
  </w:p>
  <w:p w14:paraId="01EB4A8C" w14:textId="5355E795" w:rsidR="00BD4D97" w:rsidRDefault="00BD4D97">
    <w:pPr>
      <w:pStyle w:val="Header"/>
      <w:tabs>
        <w:tab w:val="left" w:pos="7110"/>
      </w:tabs>
      <w:ind w:right="110"/>
      <w:jc w:val="right"/>
      <w:rPr>
        <w:rFonts w:ascii="Cabinet Grotesk Variable" w:hAnsi="Cabinet Grotesk Variable" w:cs="Calibri"/>
      </w:rPr>
    </w:pPr>
    <w:r w:rsidRPr="002C6022">
      <w:rPr>
        <w:rFonts w:ascii="Cabinet Grotesk Variable" w:hAnsi="Cabinet Grotesk Variable" w:cs="Calibri"/>
      </w:rPr>
      <w:t xml:space="preserve">Next reviewed: </w:t>
    </w:r>
    <w:sdt>
      <w:sdtPr>
        <w:rPr>
          <w:rFonts w:ascii="Cabinet Grotesk Variable" w:hAnsi="Cabinet Grotesk Variable" w:cs="Calibri"/>
        </w:rPr>
        <w:alias w:val="Next Review Date"/>
        <w:tag w:val="NextReviewDate"/>
        <w:id w:val="395016704"/>
        <w:placeholder>
          <w:docPart w:val="272BEFF03B4F4A01A81430EA524BEB72"/>
        </w:placeholder>
        <w:dataBinding w:prefixMappings="xmlns:ns0='http://schemas.microsoft.com/office/2006/metadata/properties' xmlns:ns1='http://www.w3.org/2001/XMLSchema-instance' xmlns:ns2='http://schemas.microsoft.com/office/infopath/2007/PartnerControls' xmlns:ns3='ac3cf708-0f9a-4fbd-981d-985a02483855' xmlns:ns4='http://www.w3.org/2000/xmlns/' " w:xpath="/ns0:properties[1]/documentManagement[1]/ns3:NextReviewDate[1]" w:storeItemID="{C2BD5026-B052-4320-BBEB-3A3753BABED4}"/>
        <w:date w:fullDate="2025-07-01T00:00:00Z">
          <w:dateFormat w:val="dd/MM/yyyy"/>
          <w:lid w:val="en-GB"/>
          <w:storeMappedDataAs w:val="dateTime"/>
          <w:calendar w:val="gregorian"/>
        </w:date>
      </w:sdtPr>
      <w:sdtEndPr/>
      <w:sdtContent>
        <w:r w:rsidR="001540C8">
          <w:rPr>
            <w:rFonts w:ascii="Cabinet Grotesk Variable" w:hAnsi="Cabinet Grotesk Variable" w:cs="Calibri"/>
          </w:rPr>
          <w:t>01/07/2025</w:t>
        </w:r>
      </w:sdtContent>
    </w:sdt>
  </w:p>
  <w:p w14:paraId="3A979821" w14:textId="021E3784" w:rsidR="00BD4D97" w:rsidRPr="002C6022" w:rsidRDefault="00BD4D97">
    <w:pPr>
      <w:pStyle w:val="Header"/>
      <w:tabs>
        <w:tab w:val="left" w:pos="7110"/>
      </w:tabs>
      <w:ind w:right="110"/>
      <w:jc w:val="right"/>
      <w:rPr>
        <w:rFonts w:ascii="Cabinet Grotesk Variable" w:hAnsi="Cabinet Grotesk Variable" w:cs="Calibri"/>
      </w:rPr>
    </w:pPr>
    <w:r>
      <w:rPr>
        <w:rFonts w:ascii="Cabinet Grotesk Variable" w:hAnsi="Cabinet Grotesk Variable" w:cs="Calibri"/>
      </w:rPr>
      <w:t>Document Number:</w:t>
    </w:r>
    <w:sdt>
      <w:sdtPr>
        <w:rPr>
          <w:rFonts w:ascii="Cabinet Grotesk Variable" w:hAnsi="Cabinet Grotesk Variable" w:cs="Calibri"/>
        </w:rPr>
        <w:alias w:val="Document Number"/>
        <w:tag w:val="DocumentNumber"/>
        <w:id w:val="-1993779349"/>
        <w:placeholder>
          <w:docPart w:val="A1853B1628034E6994E945285EABD3D0"/>
        </w:placeholder>
        <w:dataBinding w:prefixMappings="xmlns:ns0='http://schemas.microsoft.com/office/2006/metadata/properties' xmlns:ns1='http://www.w3.org/2001/XMLSchema-instance' xmlns:ns2='http://schemas.microsoft.com/office/infopath/2007/PartnerControls' xmlns:ns3='ac3cf708-0f9a-4fbd-981d-985a02483855' " w:xpath="/ns0:properties[1]/documentManagement[1]/ns3:DocumentNumber[1]" w:storeItemID="{C2BD5026-B052-4320-BBEB-3A3753BABED4}"/>
        <w:text/>
      </w:sdtPr>
      <w:sdtEndPr/>
      <w:sdtContent>
        <w:r>
          <w:rPr>
            <w:rFonts w:ascii="Cabinet Grotesk Variable" w:hAnsi="Cabinet Grotesk Variable" w:cs="Calibri"/>
          </w:rPr>
          <w:t>QLTCOMP-020R6</w:t>
        </w:r>
      </w:sdtContent>
    </w:sdt>
  </w:p>
  <w:p w14:paraId="45FB1AA7" w14:textId="77777777" w:rsidR="001222DC" w:rsidRDefault="001222DC" w:rsidP="001222DC">
    <w:pPr>
      <w:pStyle w:val="Header"/>
      <w:tabs>
        <w:tab w:val="clear" w:pos="4513"/>
        <w:tab w:val="clear" w:pos="9026"/>
        <w:tab w:val="left" w:pos="634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4B326" w14:textId="77777777" w:rsidR="00BD4D97" w:rsidRDefault="00BD4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464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4136A"/>
    <w:multiLevelType w:val="hybridMultilevel"/>
    <w:tmpl w:val="F99ED4B2"/>
    <w:lvl w:ilvl="0" w:tplc="30CC88C6">
      <w:numFmt w:val="bullet"/>
      <w:lvlText w:val=""/>
      <w:lvlJc w:val="left"/>
      <w:pPr>
        <w:ind w:left="820" w:hanging="360"/>
      </w:pPr>
      <w:rPr>
        <w:rFonts w:ascii="Symbol" w:eastAsia="Symbol" w:hAnsi="Symbol" w:cs="Symbol" w:hint="default"/>
        <w:w w:val="100"/>
        <w:sz w:val="21"/>
        <w:szCs w:val="21"/>
        <w:lang w:val="en-GB" w:eastAsia="en-GB" w:bidi="en-GB"/>
      </w:rPr>
    </w:lvl>
    <w:lvl w:ilvl="1" w:tplc="98322704">
      <w:numFmt w:val="bullet"/>
      <w:lvlText w:val="•"/>
      <w:lvlJc w:val="left"/>
      <w:pPr>
        <w:ind w:left="1661" w:hanging="360"/>
      </w:pPr>
      <w:rPr>
        <w:rFonts w:hint="default"/>
        <w:lang w:val="en-GB" w:eastAsia="en-GB" w:bidi="en-GB"/>
      </w:rPr>
    </w:lvl>
    <w:lvl w:ilvl="2" w:tplc="0A84E4A2">
      <w:numFmt w:val="bullet"/>
      <w:lvlText w:val="•"/>
      <w:lvlJc w:val="left"/>
      <w:pPr>
        <w:ind w:left="2502" w:hanging="360"/>
      </w:pPr>
      <w:rPr>
        <w:rFonts w:hint="default"/>
        <w:lang w:val="en-GB" w:eastAsia="en-GB" w:bidi="en-GB"/>
      </w:rPr>
    </w:lvl>
    <w:lvl w:ilvl="3" w:tplc="A63CBDEC">
      <w:numFmt w:val="bullet"/>
      <w:lvlText w:val="•"/>
      <w:lvlJc w:val="left"/>
      <w:pPr>
        <w:ind w:left="3343" w:hanging="360"/>
      </w:pPr>
      <w:rPr>
        <w:rFonts w:hint="default"/>
        <w:lang w:val="en-GB" w:eastAsia="en-GB" w:bidi="en-GB"/>
      </w:rPr>
    </w:lvl>
    <w:lvl w:ilvl="4" w:tplc="A0683C80">
      <w:numFmt w:val="bullet"/>
      <w:lvlText w:val="•"/>
      <w:lvlJc w:val="left"/>
      <w:pPr>
        <w:ind w:left="4184" w:hanging="360"/>
      </w:pPr>
      <w:rPr>
        <w:rFonts w:hint="default"/>
        <w:lang w:val="en-GB" w:eastAsia="en-GB" w:bidi="en-GB"/>
      </w:rPr>
    </w:lvl>
    <w:lvl w:ilvl="5" w:tplc="860E6830">
      <w:numFmt w:val="bullet"/>
      <w:lvlText w:val="•"/>
      <w:lvlJc w:val="left"/>
      <w:pPr>
        <w:ind w:left="5025" w:hanging="360"/>
      </w:pPr>
      <w:rPr>
        <w:rFonts w:hint="default"/>
        <w:lang w:val="en-GB" w:eastAsia="en-GB" w:bidi="en-GB"/>
      </w:rPr>
    </w:lvl>
    <w:lvl w:ilvl="6" w:tplc="874C10A2">
      <w:numFmt w:val="bullet"/>
      <w:lvlText w:val="•"/>
      <w:lvlJc w:val="left"/>
      <w:pPr>
        <w:ind w:left="5866" w:hanging="360"/>
      </w:pPr>
      <w:rPr>
        <w:rFonts w:hint="default"/>
        <w:lang w:val="en-GB" w:eastAsia="en-GB" w:bidi="en-GB"/>
      </w:rPr>
    </w:lvl>
    <w:lvl w:ilvl="7" w:tplc="83027988">
      <w:numFmt w:val="bullet"/>
      <w:lvlText w:val="•"/>
      <w:lvlJc w:val="left"/>
      <w:pPr>
        <w:ind w:left="6707" w:hanging="360"/>
      </w:pPr>
      <w:rPr>
        <w:rFonts w:hint="default"/>
        <w:lang w:val="en-GB" w:eastAsia="en-GB" w:bidi="en-GB"/>
      </w:rPr>
    </w:lvl>
    <w:lvl w:ilvl="8" w:tplc="C0286858">
      <w:numFmt w:val="bullet"/>
      <w:lvlText w:val="•"/>
      <w:lvlJc w:val="left"/>
      <w:pPr>
        <w:ind w:left="7548" w:hanging="360"/>
      </w:pPr>
      <w:rPr>
        <w:rFonts w:hint="default"/>
        <w:lang w:val="en-GB" w:eastAsia="en-GB" w:bidi="en-GB"/>
      </w:rPr>
    </w:lvl>
  </w:abstractNum>
  <w:abstractNum w:abstractNumId="2" w15:restartNumberingAfterBreak="0">
    <w:nsid w:val="22762E92"/>
    <w:multiLevelType w:val="hybridMultilevel"/>
    <w:tmpl w:val="0F267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351832">
    <w:abstractNumId w:val="1"/>
  </w:num>
  <w:num w:numId="2" w16cid:durableId="1117486042">
    <w:abstractNumId w:val="0"/>
  </w:num>
  <w:num w:numId="3" w16cid:durableId="900869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2DC"/>
    <w:rsid w:val="00055F3D"/>
    <w:rsid w:val="00083DA1"/>
    <w:rsid w:val="00095073"/>
    <w:rsid w:val="000A27E7"/>
    <w:rsid w:val="000B5987"/>
    <w:rsid w:val="00117480"/>
    <w:rsid w:val="001222DC"/>
    <w:rsid w:val="001540C8"/>
    <w:rsid w:val="001739C8"/>
    <w:rsid w:val="001A3F43"/>
    <w:rsid w:val="001B668D"/>
    <w:rsid w:val="001B6E28"/>
    <w:rsid w:val="001F2F62"/>
    <w:rsid w:val="00200141"/>
    <w:rsid w:val="002136DD"/>
    <w:rsid w:val="00230D8E"/>
    <w:rsid w:val="00240A15"/>
    <w:rsid w:val="00255410"/>
    <w:rsid w:val="002952E6"/>
    <w:rsid w:val="002A2C2E"/>
    <w:rsid w:val="002B35D7"/>
    <w:rsid w:val="002C6022"/>
    <w:rsid w:val="002D1ABE"/>
    <w:rsid w:val="002E04FD"/>
    <w:rsid w:val="002E2CF3"/>
    <w:rsid w:val="00305356"/>
    <w:rsid w:val="003271CD"/>
    <w:rsid w:val="00331C58"/>
    <w:rsid w:val="0033669D"/>
    <w:rsid w:val="003713DD"/>
    <w:rsid w:val="003B525E"/>
    <w:rsid w:val="003D166D"/>
    <w:rsid w:val="003E42CF"/>
    <w:rsid w:val="003F2BE4"/>
    <w:rsid w:val="0047602A"/>
    <w:rsid w:val="00487E7A"/>
    <w:rsid w:val="004B0A20"/>
    <w:rsid w:val="005475C3"/>
    <w:rsid w:val="00547D7F"/>
    <w:rsid w:val="005538C1"/>
    <w:rsid w:val="0055559A"/>
    <w:rsid w:val="00582BAA"/>
    <w:rsid w:val="00595690"/>
    <w:rsid w:val="005A5930"/>
    <w:rsid w:val="00606BF4"/>
    <w:rsid w:val="00664810"/>
    <w:rsid w:val="006651CB"/>
    <w:rsid w:val="00680FF4"/>
    <w:rsid w:val="00682040"/>
    <w:rsid w:val="0068623A"/>
    <w:rsid w:val="00696FE7"/>
    <w:rsid w:val="006B1628"/>
    <w:rsid w:val="006B5794"/>
    <w:rsid w:val="006B78A2"/>
    <w:rsid w:val="006C6B38"/>
    <w:rsid w:val="006D0428"/>
    <w:rsid w:val="006E69E0"/>
    <w:rsid w:val="006E7449"/>
    <w:rsid w:val="006F7D4E"/>
    <w:rsid w:val="00725810"/>
    <w:rsid w:val="00747865"/>
    <w:rsid w:val="007555B3"/>
    <w:rsid w:val="007A2826"/>
    <w:rsid w:val="007C5D84"/>
    <w:rsid w:val="007F321D"/>
    <w:rsid w:val="00806CC9"/>
    <w:rsid w:val="008119C4"/>
    <w:rsid w:val="00811BE7"/>
    <w:rsid w:val="008214D6"/>
    <w:rsid w:val="008258E9"/>
    <w:rsid w:val="00825FCA"/>
    <w:rsid w:val="00841176"/>
    <w:rsid w:val="00896DF0"/>
    <w:rsid w:val="008B4F7C"/>
    <w:rsid w:val="008D0B64"/>
    <w:rsid w:val="009251F1"/>
    <w:rsid w:val="009475DF"/>
    <w:rsid w:val="00982CEA"/>
    <w:rsid w:val="00986970"/>
    <w:rsid w:val="009A4D4F"/>
    <w:rsid w:val="009E7253"/>
    <w:rsid w:val="009F3836"/>
    <w:rsid w:val="009F3AEE"/>
    <w:rsid w:val="00A052D2"/>
    <w:rsid w:val="00A05FC9"/>
    <w:rsid w:val="00A17CA5"/>
    <w:rsid w:val="00A21976"/>
    <w:rsid w:val="00A27BF4"/>
    <w:rsid w:val="00A3CAA1"/>
    <w:rsid w:val="00A639A8"/>
    <w:rsid w:val="00A81BD7"/>
    <w:rsid w:val="00AC3148"/>
    <w:rsid w:val="00AE38BA"/>
    <w:rsid w:val="00B43B46"/>
    <w:rsid w:val="00B639B5"/>
    <w:rsid w:val="00B66497"/>
    <w:rsid w:val="00B77DFA"/>
    <w:rsid w:val="00B77F32"/>
    <w:rsid w:val="00B90133"/>
    <w:rsid w:val="00BD4D97"/>
    <w:rsid w:val="00BF5016"/>
    <w:rsid w:val="00BF694A"/>
    <w:rsid w:val="00C21EA5"/>
    <w:rsid w:val="00CA6B14"/>
    <w:rsid w:val="00CC7AD4"/>
    <w:rsid w:val="00CD7A52"/>
    <w:rsid w:val="00D033AC"/>
    <w:rsid w:val="00D129DF"/>
    <w:rsid w:val="00D223E6"/>
    <w:rsid w:val="00D34CFA"/>
    <w:rsid w:val="00D36E2A"/>
    <w:rsid w:val="00D47028"/>
    <w:rsid w:val="00D51CB8"/>
    <w:rsid w:val="00D53111"/>
    <w:rsid w:val="00D73DDA"/>
    <w:rsid w:val="00D9771B"/>
    <w:rsid w:val="00DB3155"/>
    <w:rsid w:val="00E01672"/>
    <w:rsid w:val="00E02639"/>
    <w:rsid w:val="00E07811"/>
    <w:rsid w:val="00E23970"/>
    <w:rsid w:val="00E46510"/>
    <w:rsid w:val="00E61652"/>
    <w:rsid w:val="00E70938"/>
    <w:rsid w:val="00E8113A"/>
    <w:rsid w:val="00E86F0B"/>
    <w:rsid w:val="00E87C68"/>
    <w:rsid w:val="00E940AA"/>
    <w:rsid w:val="00EB0A92"/>
    <w:rsid w:val="00EB6F23"/>
    <w:rsid w:val="00EF5FB1"/>
    <w:rsid w:val="00EF75BB"/>
    <w:rsid w:val="00F376F3"/>
    <w:rsid w:val="00F56242"/>
    <w:rsid w:val="00F86456"/>
    <w:rsid w:val="00F9402F"/>
    <w:rsid w:val="00FB264F"/>
    <w:rsid w:val="00FF7661"/>
    <w:rsid w:val="03DDA3F8"/>
    <w:rsid w:val="105BF3F0"/>
    <w:rsid w:val="1831DE95"/>
    <w:rsid w:val="1A23EFA1"/>
    <w:rsid w:val="1DD32B23"/>
    <w:rsid w:val="203EFC9B"/>
    <w:rsid w:val="35CC2655"/>
    <w:rsid w:val="453A3954"/>
    <w:rsid w:val="47E8FC36"/>
    <w:rsid w:val="4962D7A5"/>
    <w:rsid w:val="51ECD9B1"/>
    <w:rsid w:val="55483BDC"/>
    <w:rsid w:val="630BD60D"/>
    <w:rsid w:val="714E4A06"/>
    <w:rsid w:val="74992C6F"/>
    <w:rsid w:val="795F2EF1"/>
    <w:rsid w:val="7C23BC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81CA8"/>
  <w15:chartTrackingRefBased/>
  <w15:docId w15:val="{B725F80A-231B-4977-9866-BD10BBEC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28"/>
    <w:pPr>
      <w:spacing w:line="256" w:lineRule="auto"/>
    </w:pPr>
  </w:style>
  <w:style w:type="paragraph" w:styleId="Heading1">
    <w:name w:val="heading 1"/>
    <w:basedOn w:val="Normal"/>
    <w:next w:val="Normal"/>
    <w:link w:val="Heading1Char"/>
    <w:uiPriority w:val="9"/>
    <w:qFormat/>
    <w:rsid w:val="006B1628"/>
    <w:pPr>
      <w:keepNext/>
      <w:keepLines/>
      <w:spacing w:before="240" w:after="120"/>
      <w:outlineLvl w:val="0"/>
    </w:pPr>
    <w:rPr>
      <w:rFonts w:ascii="Montserrat SemiBold" w:eastAsiaTheme="majorEastAsia" w:hAnsi="Montserrat SemiBold" w:cstheme="majorBidi"/>
      <w:color w:val="262626" w:themeColor="text1" w:themeTint="D9"/>
      <w:sz w:val="24"/>
      <w:szCs w:val="32"/>
    </w:rPr>
  </w:style>
  <w:style w:type="paragraph" w:styleId="Heading2">
    <w:name w:val="heading 2"/>
    <w:basedOn w:val="Normal"/>
    <w:next w:val="Normal"/>
    <w:link w:val="Heading2Char"/>
    <w:uiPriority w:val="9"/>
    <w:unhideWhenUsed/>
    <w:qFormat/>
    <w:rsid w:val="006B1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628"/>
    <w:rPr>
      <w:rFonts w:ascii="Montserrat SemiBold" w:eastAsiaTheme="majorEastAsia" w:hAnsi="Montserrat SemiBold" w:cstheme="majorBidi"/>
      <w:color w:val="262626" w:themeColor="text1" w:themeTint="D9"/>
      <w:sz w:val="24"/>
      <w:szCs w:val="32"/>
    </w:rPr>
  </w:style>
  <w:style w:type="paragraph" w:styleId="Footer">
    <w:name w:val="footer"/>
    <w:basedOn w:val="Normal"/>
    <w:link w:val="FooterChar"/>
    <w:uiPriority w:val="99"/>
    <w:unhideWhenUsed/>
    <w:rsid w:val="006B1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628"/>
  </w:style>
  <w:style w:type="paragraph" w:styleId="Header">
    <w:name w:val="header"/>
    <w:basedOn w:val="Normal"/>
    <w:link w:val="HeaderChar"/>
    <w:uiPriority w:val="99"/>
    <w:unhideWhenUsed/>
    <w:rsid w:val="006B1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628"/>
  </w:style>
  <w:style w:type="character" w:customStyle="1" w:styleId="Heading2Char">
    <w:name w:val="Heading 2 Char"/>
    <w:basedOn w:val="DefaultParagraphFont"/>
    <w:link w:val="Heading2"/>
    <w:uiPriority w:val="9"/>
    <w:rsid w:val="006B162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B1628"/>
    <w:pPr>
      <w:ind w:left="720"/>
      <w:contextualSpacing/>
    </w:pPr>
  </w:style>
  <w:style w:type="table" w:styleId="PlainTable1">
    <w:name w:val="Plain Table 1"/>
    <w:basedOn w:val="TableNormal"/>
    <w:uiPriority w:val="41"/>
    <w:rsid w:val="006B16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16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6B16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16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39"/>
    <w:rsid w:val="006B16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6B16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B1628"/>
    <w:pPr>
      <w:spacing w:after="0" w:line="240" w:lineRule="auto"/>
      <w:contextualSpacing/>
    </w:pPr>
    <w:rPr>
      <w:rFonts w:ascii="Montserrat SemiBold" w:eastAsiaTheme="majorEastAsia" w:hAnsi="Montserrat SemiBold" w:cstheme="majorBidi"/>
      <w:spacing w:val="-10"/>
      <w:kern w:val="28"/>
      <w:sz w:val="36"/>
      <w:szCs w:val="56"/>
    </w:rPr>
  </w:style>
  <w:style w:type="character" w:customStyle="1" w:styleId="TitleChar">
    <w:name w:val="Title Char"/>
    <w:basedOn w:val="DefaultParagraphFont"/>
    <w:link w:val="Title"/>
    <w:uiPriority w:val="10"/>
    <w:rsid w:val="006B1628"/>
    <w:rPr>
      <w:rFonts w:ascii="Montserrat SemiBold" w:eastAsiaTheme="majorEastAsia" w:hAnsi="Montserrat SemiBold" w:cstheme="majorBidi"/>
      <w:spacing w:val="-10"/>
      <w:kern w:val="28"/>
      <w:sz w:val="36"/>
      <w:szCs w:val="56"/>
    </w:rPr>
  </w:style>
  <w:style w:type="table" w:customStyle="1" w:styleId="TwinSchoolTablestyle">
    <w:name w:val="Twin School Table style"/>
    <w:basedOn w:val="ColorfulGrid-Accent6"/>
    <w:uiPriority w:val="99"/>
    <w:rsid w:val="00BF5016"/>
    <w:tblPr>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Grid-Accent6">
    <w:name w:val="Colorful Grid Accent 6"/>
    <w:basedOn w:val="TableNormal"/>
    <w:uiPriority w:val="73"/>
    <w:semiHidden/>
    <w:unhideWhenUsed/>
    <w:rsid w:val="00BF501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CommentReference">
    <w:name w:val="annotation reference"/>
    <w:basedOn w:val="DefaultParagraphFont"/>
    <w:uiPriority w:val="99"/>
    <w:semiHidden/>
    <w:unhideWhenUsed/>
    <w:rsid w:val="00E46510"/>
    <w:rPr>
      <w:sz w:val="16"/>
      <w:szCs w:val="16"/>
    </w:rPr>
  </w:style>
  <w:style w:type="paragraph" w:styleId="CommentText">
    <w:name w:val="annotation text"/>
    <w:basedOn w:val="Normal"/>
    <w:link w:val="CommentTextChar"/>
    <w:uiPriority w:val="99"/>
    <w:unhideWhenUsed/>
    <w:rsid w:val="00E46510"/>
    <w:pPr>
      <w:spacing w:line="240" w:lineRule="auto"/>
    </w:pPr>
    <w:rPr>
      <w:sz w:val="20"/>
      <w:szCs w:val="20"/>
    </w:rPr>
  </w:style>
  <w:style w:type="character" w:customStyle="1" w:styleId="CommentTextChar">
    <w:name w:val="Comment Text Char"/>
    <w:basedOn w:val="DefaultParagraphFont"/>
    <w:link w:val="CommentText"/>
    <w:uiPriority w:val="99"/>
    <w:rsid w:val="00E46510"/>
    <w:rPr>
      <w:sz w:val="20"/>
      <w:szCs w:val="20"/>
    </w:rPr>
  </w:style>
  <w:style w:type="paragraph" w:styleId="CommentSubject">
    <w:name w:val="annotation subject"/>
    <w:basedOn w:val="CommentText"/>
    <w:next w:val="CommentText"/>
    <w:link w:val="CommentSubjectChar"/>
    <w:uiPriority w:val="99"/>
    <w:semiHidden/>
    <w:unhideWhenUsed/>
    <w:rsid w:val="00E46510"/>
    <w:rPr>
      <w:b/>
      <w:bCs/>
    </w:rPr>
  </w:style>
  <w:style w:type="character" w:customStyle="1" w:styleId="CommentSubjectChar">
    <w:name w:val="Comment Subject Char"/>
    <w:basedOn w:val="CommentTextChar"/>
    <w:link w:val="CommentSubject"/>
    <w:uiPriority w:val="99"/>
    <w:semiHidden/>
    <w:rsid w:val="00E46510"/>
    <w:rPr>
      <w:b/>
      <w:bCs/>
      <w:sz w:val="20"/>
      <w:szCs w:val="20"/>
    </w:rPr>
  </w:style>
  <w:style w:type="paragraph" w:customStyle="1" w:styleId="Default">
    <w:name w:val="Default"/>
    <w:rsid w:val="009F3AEE"/>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9F3AEE"/>
    <w:rPr>
      <w:rFonts w:ascii="Segoe UI" w:hAnsi="Segoe UI" w:cs="Segoe UI" w:hint="default"/>
      <w:sz w:val="18"/>
      <w:szCs w:val="18"/>
    </w:rPr>
  </w:style>
  <w:style w:type="character" w:customStyle="1" w:styleId="cf11">
    <w:name w:val="cf11"/>
    <w:basedOn w:val="DefaultParagraphFont"/>
    <w:rsid w:val="009F3AEE"/>
    <w:rPr>
      <w:rFonts w:ascii="Segoe UI" w:hAnsi="Segoe UI" w:cs="Segoe UI" w:hint="default"/>
      <w:sz w:val="18"/>
      <w:szCs w:val="18"/>
    </w:rPr>
  </w:style>
  <w:style w:type="character" w:styleId="PlaceholderText">
    <w:name w:val="Placeholder Text"/>
    <w:basedOn w:val="DefaultParagraphFont"/>
    <w:uiPriority w:val="99"/>
    <w:semiHidden/>
    <w:rsid w:val="00BD4D9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7BDB4E0CD64B8EB5DD556974446BE6"/>
        <w:category>
          <w:name w:val="General"/>
          <w:gallery w:val="placeholder"/>
        </w:category>
        <w:types>
          <w:type w:val="bbPlcHdr"/>
        </w:types>
        <w:behaviors>
          <w:behavior w:val="content"/>
        </w:behaviors>
        <w:guid w:val="{D2980FF5-1CFB-4BDB-958E-85D384BE4999}"/>
      </w:docPartPr>
      <w:docPartBody>
        <w:p w:rsidR="00E940AA" w:rsidRDefault="00E940AA" w:rsidP="00E940AA">
          <w:pPr>
            <w:pStyle w:val="937BDB4E0CD64B8EB5DD556974446BE6"/>
          </w:pPr>
          <w:r w:rsidRPr="00713C50">
            <w:rPr>
              <w:rStyle w:val="PlaceholderText"/>
            </w:rPr>
            <w:t>[Responsible Person]</w:t>
          </w:r>
        </w:p>
      </w:docPartBody>
    </w:docPart>
    <w:docPart>
      <w:docPartPr>
        <w:name w:val="9155EE06B14D49C1912870FCE293EB55"/>
        <w:category>
          <w:name w:val="General"/>
          <w:gallery w:val="placeholder"/>
        </w:category>
        <w:types>
          <w:type w:val="bbPlcHdr"/>
        </w:types>
        <w:behaviors>
          <w:behavior w:val="content"/>
        </w:behaviors>
        <w:guid w:val="{AD744CC1-3A06-47CA-AA8C-9E909FD3D2CA}"/>
      </w:docPartPr>
      <w:docPartBody>
        <w:p w:rsidR="00E940AA" w:rsidRDefault="00E940AA" w:rsidP="00E940AA">
          <w:pPr>
            <w:pStyle w:val="9155EE06B14D49C1912870FCE293EB55"/>
          </w:pPr>
          <w:r w:rsidRPr="00713C50">
            <w:rPr>
              <w:rStyle w:val="PlaceholderText"/>
            </w:rPr>
            <w:t>[Version Number]</w:t>
          </w:r>
        </w:p>
      </w:docPartBody>
    </w:docPart>
    <w:docPart>
      <w:docPartPr>
        <w:name w:val="55B770F4B2FE4EC69AF446E95ADA4347"/>
        <w:category>
          <w:name w:val="General"/>
          <w:gallery w:val="placeholder"/>
        </w:category>
        <w:types>
          <w:type w:val="bbPlcHdr"/>
        </w:types>
        <w:behaviors>
          <w:behavior w:val="content"/>
        </w:behaviors>
        <w:guid w:val="{BB9C70B1-76FB-43EB-9D20-F4C94633F7CB}"/>
      </w:docPartPr>
      <w:docPartBody>
        <w:p w:rsidR="00E940AA" w:rsidRDefault="00E940AA" w:rsidP="00E940AA">
          <w:pPr>
            <w:pStyle w:val="55B770F4B2FE4EC69AF446E95ADA4347"/>
          </w:pPr>
          <w:r w:rsidRPr="00713C50">
            <w:rPr>
              <w:rStyle w:val="PlaceholderText"/>
            </w:rPr>
            <w:t>[Review Date]</w:t>
          </w:r>
        </w:p>
      </w:docPartBody>
    </w:docPart>
    <w:docPart>
      <w:docPartPr>
        <w:name w:val="272BEFF03B4F4A01A81430EA524BEB72"/>
        <w:category>
          <w:name w:val="General"/>
          <w:gallery w:val="placeholder"/>
        </w:category>
        <w:types>
          <w:type w:val="bbPlcHdr"/>
        </w:types>
        <w:behaviors>
          <w:behavior w:val="content"/>
        </w:behaviors>
        <w:guid w:val="{5435BF5A-94CA-4F2A-8DBA-F2CD3858DCEF}"/>
      </w:docPartPr>
      <w:docPartBody>
        <w:p w:rsidR="00E940AA" w:rsidRDefault="00E940AA" w:rsidP="00E940AA">
          <w:pPr>
            <w:pStyle w:val="272BEFF03B4F4A01A81430EA524BEB72"/>
          </w:pPr>
          <w:r w:rsidRPr="00713C50">
            <w:rPr>
              <w:rStyle w:val="PlaceholderText"/>
            </w:rPr>
            <w:t>[Next Review Date]</w:t>
          </w:r>
        </w:p>
      </w:docPartBody>
    </w:docPart>
    <w:docPart>
      <w:docPartPr>
        <w:name w:val="A1853B1628034E6994E945285EABD3D0"/>
        <w:category>
          <w:name w:val="General"/>
          <w:gallery w:val="placeholder"/>
        </w:category>
        <w:types>
          <w:type w:val="bbPlcHdr"/>
        </w:types>
        <w:behaviors>
          <w:behavior w:val="content"/>
        </w:behaviors>
        <w:guid w:val="{9EAF1B86-125D-4EF3-A03F-52C4615E84E3}"/>
      </w:docPartPr>
      <w:docPartBody>
        <w:p w:rsidR="00E940AA" w:rsidRDefault="00E940AA" w:rsidP="00E940AA">
          <w:pPr>
            <w:pStyle w:val="A1853B1628034E6994E945285EABD3D0"/>
          </w:pPr>
          <w:r w:rsidRPr="00713C50">
            <w:rPr>
              <w:rStyle w:val="PlaceholderText"/>
            </w:rPr>
            <w:t>[Document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binet Grotesk Variable">
    <w:altName w:val="Calibri"/>
    <w:charset w:val="00"/>
    <w:family w:val="auto"/>
    <w:pitch w:val="variable"/>
    <w:sig w:usb0="80000047" w:usb1="1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AA"/>
    <w:rsid w:val="005A5930"/>
    <w:rsid w:val="007A2826"/>
    <w:rsid w:val="00A21976"/>
    <w:rsid w:val="00BA6303"/>
    <w:rsid w:val="00E940AA"/>
    <w:rsid w:val="00F16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0AA"/>
    <w:rPr>
      <w:color w:val="666666"/>
    </w:rPr>
  </w:style>
  <w:style w:type="paragraph" w:customStyle="1" w:styleId="937BDB4E0CD64B8EB5DD556974446BE6">
    <w:name w:val="937BDB4E0CD64B8EB5DD556974446BE6"/>
    <w:rsid w:val="00E940AA"/>
  </w:style>
  <w:style w:type="paragraph" w:customStyle="1" w:styleId="9155EE06B14D49C1912870FCE293EB55">
    <w:name w:val="9155EE06B14D49C1912870FCE293EB55"/>
    <w:rsid w:val="00E940AA"/>
  </w:style>
  <w:style w:type="paragraph" w:customStyle="1" w:styleId="55B770F4B2FE4EC69AF446E95ADA4347">
    <w:name w:val="55B770F4B2FE4EC69AF446E95ADA4347"/>
    <w:rsid w:val="00E940AA"/>
  </w:style>
  <w:style w:type="paragraph" w:customStyle="1" w:styleId="272BEFF03B4F4A01A81430EA524BEB72">
    <w:name w:val="272BEFF03B4F4A01A81430EA524BEB72"/>
    <w:rsid w:val="00E940AA"/>
  </w:style>
  <w:style w:type="paragraph" w:customStyle="1" w:styleId="A1853B1628034E6994E945285EABD3D0">
    <w:name w:val="A1853B1628034E6994E945285EABD3D0"/>
    <w:rsid w:val="00E94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bf081d1-c168-4c90-a23b-33c069f6b0d4" xsi:nil="true"/>
    <lcf76f155ced4ddcb4097134ff3c332f xmlns="bd0ea8c7-f9f7-43a2-a9d8-29fa026f45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5D8095FE157844AB1F08BD79300D95" ma:contentTypeVersion="18" ma:contentTypeDescription="Create a new document." ma:contentTypeScope="" ma:versionID="2cde614c624d0bd0067a2121d333f390">
  <xsd:schema xmlns:xsd="http://www.w3.org/2001/XMLSchema" xmlns:xs="http://www.w3.org/2001/XMLSchema" xmlns:p="http://schemas.microsoft.com/office/2006/metadata/properties" xmlns:ns2="bd0ea8c7-f9f7-43a2-a9d8-29fa026f4580" xmlns:ns3="2bf081d1-c168-4c90-a23b-33c069f6b0d4" targetNamespace="http://schemas.microsoft.com/office/2006/metadata/properties" ma:root="true" ma:fieldsID="40d3666d8d34fba0482c84302920fae8" ns2:_="" ns3:_="">
    <xsd:import namespace="bd0ea8c7-f9f7-43a2-a9d8-29fa026f4580"/>
    <xsd:import namespace="2bf081d1-c168-4c90-a23b-33c069f6b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ea8c7-f9f7-43a2-a9d8-29fa026f4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ab1ce6-12e0-4c78-ab07-4e3f6e28fa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081d1-c168-4c90-a23b-33c069f6b0d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f8d7fd-cd5e-4fae-af80-5cbd157e6d75}" ma:internalName="TaxCatchAll" ma:showField="CatchAllData" ma:web="2bf081d1-c168-4c90-a23b-33c069f6b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26D16-098D-4E6F-A92F-382D50A5DC4F}">
  <ds:schemaRefs>
    <ds:schemaRef ds:uri="http://schemas.microsoft.com/sharepoint/v3/contenttype/forms"/>
  </ds:schemaRefs>
</ds:datastoreItem>
</file>

<file path=customXml/itemProps2.xml><?xml version="1.0" encoding="utf-8"?>
<ds:datastoreItem xmlns:ds="http://schemas.openxmlformats.org/officeDocument/2006/customXml" ds:itemID="{C2BD5026-B052-4320-BBEB-3A3753BABED4}">
  <ds:schemaRefs>
    <ds:schemaRef ds:uri="http://schemas.microsoft.com/office/2006/documentManagement/types"/>
    <ds:schemaRef ds:uri="bd0ea8c7-f9f7-43a2-a9d8-29fa026f4580"/>
    <ds:schemaRef ds:uri="2bf081d1-c168-4c90-a23b-33c069f6b0d4"/>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98A00A0-0557-4ABF-827C-78BA66AFB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ea8c7-f9f7-43a2-a9d8-29fa026f4580"/>
    <ds:schemaRef ds:uri="2bf081d1-c168-4c90-a23b-33c069f6b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Chain Fees Policy</dc:title>
  <dc:subject/>
  <dc:creator>Sean O'Kelly</dc:creator>
  <cp:keywords/>
  <dc:description/>
  <cp:lastModifiedBy>Sharon Major</cp:lastModifiedBy>
  <cp:revision>2</cp:revision>
  <dcterms:created xsi:type="dcterms:W3CDTF">2025-07-11T07:34:00Z</dcterms:created>
  <dcterms:modified xsi:type="dcterms:W3CDTF">2025-07-11T07:34:00Z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0x010100E65D8095FE157844AB1F08BD79300D95</vt:lpwstr>
  </property>
  <property fmtid="{D5CDD505-2E9C-101B-9397-08002B2CF9AE}" pid="3" name="MediaServiceImageTags">
    <vt:lpwstr/>
  </property>
  <property fmtid="{D5CDD505-2E9C-101B-9397-08002B2CF9AE}" pid="4" name="MSIP_Label_81074def-2bba-40df-9d69-d798518e038b_Enabled">
    <vt:lpwstr>true</vt:lpwstr>
  </property>
  <property fmtid="{D5CDD505-2E9C-101B-9397-08002B2CF9AE}" pid="5" name="MSIP_Label_81074def-2bba-40df-9d69-d798518e038b_SetDate">
    <vt:lpwstr>2025-05-23T09:21:37Z</vt:lpwstr>
  </property>
  <property fmtid="{D5CDD505-2E9C-101B-9397-08002B2CF9AE}" pid="6" name="MSIP_Label_81074def-2bba-40df-9d69-d798518e038b_Method">
    <vt:lpwstr>Privileged</vt:lpwstr>
  </property>
  <property fmtid="{D5CDD505-2E9C-101B-9397-08002B2CF9AE}" pid="7" name="MSIP_Label_81074def-2bba-40df-9d69-d798518e038b_Name">
    <vt:lpwstr>Public</vt:lpwstr>
  </property>
  <property fmtid="{D5CDD505-2E9C-101B-9397-08002B2CF9AE}" pid="8" name="MSIP_Label_81074def-2bba-40df-9d69-d798518e038b_SiteId">
    <vt:lpwstr>84939a6d-b93f-41c8-9bb1-98349aa68dfe</vt:lpwstr>
  </property>
  <property fmtid="{D5CDD505-2E9C-101B-9397-08002B2CF9AE}" pid="9" name="MSIP_Label_81074def-2bba-40df-9d69-d798518e038b_ActionId">
    <vt:lpwstr>f6543a62-85ad-4ecb-af46-66a347e9473d</vt:lpwstr>
  </property>
  <property fmtid="{D5CDD505-2E9C-101B-9397-08002B2CF9AE}" pid="10" name="MSIP_Label_81074def-2bba-40df-9d69-d798518e038b_ContentBits">
    <vt:lpwstr>0</vt:lpwstr>
  </property>
  <property fmtid="{D5CDD505-2E9C-101B-9397-08002B2CF9AE}" pid="11" name="MSIP_Label_81074def-2bba-40df-9d69-d798518e038b_Tag">
    <vt:lpwstr>10, 0, 1, 1</vt:lpwstr>
  </property>
</Properties>
</file>